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04D43" w14:textId="76DB31AA" w:rsidR="001432AA" w:rsidRPr="004C2446" w:rsidRDefault="00231585" w:rsidP="001432AA">
      <w:pPr>
        <w:pStyle w:val="Header"/>
        <w:tabs>
          <w:tab w:val="clear" w:pos="9360"/>
          <w:tab w:val="right" w:pos="14400"/>
        </w:tabs>
        <w:autoSpaceDE w:val="0"/>
        <w:rPr>
          <w:b/>
        </w:rPr>
      </w:pPr>
      <w:r>
        <w:rPr>
          <w:b/>
          <w:noProof/>
        </w:rPr>
        <w:t>Student Name</w:t>
      </w:r>
      <w:r w:rsidR="001432AA" w:rsidRPr="004C2446">
        <w:rPr>
          <w:b/>
        </w:rPr>
        <w:tab/>
      </w:r>
      <w:r w:rsidR="001432AA" w:rsidRPr="004C2446">
        <w:rPr>
          <w:b/>
        </w:rPr>
        <w:tab/>
      </w:r>
      <w:r w:rsidR="001432AA" w:rsidRPr="00DC285D">
        <w:rPr>
          <w:b/>
        </w:rPr>
        <w:t xml:space="preserve">Departmental Evaluation: </w:t>
      </w:r>
    </w:p>
    <w:p w14:paraId="09B0D47E" w14:textId="520D39B2" w:rsidR="001432AA" w:rsidRPr="00783913" w:rsidRDefault="001432AA" w:rsidP="001432AA">
      <w:pPr>
        <w:tabs>
          <w:tab w:val="left" w:pos="3060"/>
        </w:tabs>
        <w:spacing w:before="200"/>
        <w:rPr>
          <w:sz w:val="20"/>
          <w:szCs w:val="20"/>
        </w:rPr>
      </w:pPr>
      <w:r w:rsidRPr="00E31548">
        <w:rPr>
          <w:sz w:val="20"/>
          <w:szCs w:val="20"/>
        </w:rPr>
        <w:t xml:space="preserve">Enrolled in program beginning: </w:t>
      </w:r>
      <w:r w:rsidRPr="00E31548">
        <w:rPr>
          <w:sz w:val="20"/>
          <w:szCs w:val="20"/>
        </w:rPr>
        <w:tab/>
      </w:r>
    </w:p>
    <w:p w14:paraId="5FD48E62" w14:textId="606B5414" w:rsidR="001432AA" w:rsidRPr="00783913" w:rsidRDefault="001432AA" w:rsidP="001432AA">
      <w:pPr>
        <w:tabs>
          <w:tab w:val="left" w:pos="3060"/>
        </w:tabs>
        <w:rPr>
          <w:sz w:val="20"/>
          <w:szCs w:val="20"/>
        </w:rPr>
      </w:pPr>
      <w:r w:rsidRPr="00783913">
        <w:rPr>
          <w:sz w:val="20"/>
          <w:szCs w:val="20"/>
        </w:rPr>
        <w:t>Semesters in program:</w:t>
      </w:r>
      <w:r w:rsidRPr="00783913">
        <w:rPr>
          <w:sz w:val="20"/>
          <w:szCs w:val="20"/>
        </w:rPr>
        <w:tab/>
      </w:r>
    </w:p>
    <w:p w14:paraId="786730AC" w14:textId="10856B1F" w:rsidR="001432AA" w:rsidRPr="00783913" w:rsidRDefault="001432AA" w:rsidP="001432AA">
      <w:pPr>
        <w:tabs>
          <w:tab w:val="left" w:pos="3060"/>
        </w:tabs>
        <w:rPr>
          <w:sz w:val="20"/>
          <w:szCs w:val="20"/>
        </w:rPr>
      </w:pPr>
      <w:r w:rsidRPr="00783913">
        <w:rPr>
          <w:sz w:val="20"/>
          <w:szCs w:val="20"/>
        </w:rPr>
        <w:t>Degree objective:</w:t>
      </w:r>
      <w:r w:rsidRPr="00783913">
        <w:rPr>
          <w:sz w:val="20"/>
          <w:szCs w:val="20"/>
        </w:rPr>
        <w:tab/>
      </w:r>
    </w:p>
    <w:p w14:paraId="29C325FB" w14:textId="696B2E4B" w:rsidR="001432AA" w:rsidRPr="00E31548" w:rsidRDefault="001432AA" w:rsidP="001432AA">
      <w:pPr>
        <w:tabs>
          <w:tab w:val="left" w:pos="3060"/>
        </w:tabs>
        <w:rPr>
          <w:noProof/>
          <w:sz w:val="20"/>
          <w:szCs w:val="20"/>
        </w:rPr>
      </w:pPr>
      <w:r w:rsidRPr="00783913">
        <w:rPr>
          <w:sz w:val="20"/>
          <w:szCs w:val="20"/>
        </w:rPr>
        <w:t>Anticipated graduation date:</w:t>
      </w:r>
      <w:r w:rsidRPr="00783913">
        <w:rPr>
          <w:sz w:val="20"/>
          <w:szCs w:val="20"/>
        </w:rPr>
        <w:tab/>
      </w:r>
      <w:r>
        <w:rPr>
          <w:noProof/>
          <w:sz w:val="20"/>
          <w:szCs w:val="20"/>
        </w:rPr>
        <w:tab/>
      </w:r>
    </w:p>
    <w:p w14:paraId="3E94CC73" w14:textId="6C66AC83" w:rsidR="001432AA" w:rsidRPr="00E31548" w:rsidRDefault="001432AA" w:rsidP="001432AA">
      <w:pPr>
        <w:tabs>
          <w:tab w:val="left" w:pos="3060"/>
        </w:tabs>
        <w:rPr>
          <w:sz w:val="20"/>
          <w:szCs w:val="20"/>
        </w:rPr>
      </w:pPr>
      <w:r w:rsidRPr="00E31548">
        <w:rPr>
          <w:b/>
          <w:noProof/>
          <w:sz w:val="20"/>
          <w:szCs w:val="20"/>
        </w:rPr>
        <mc:AlternateContent>
          <mc:Choice Requires="wps">
            <w:drawing>
              <wp:anchor distT="45720" distB="45720" distL="114300" distR="114300" simplePos="0" relativeHeight="251659264" behindDoc="0" locked="0" layoutInCell="1" allowOverlap="1" wp14:anchorId="5953C8A9" wp14:editId="7E45F42D">
                <wp:simplePos x="0" y="0"/>
                <wp:positionH relativeFrom="column">
                  <wp:posOffset>-19050</wp:posOffset>
                </wp:positionH>
                <wp:positionV relativeFrom="paragraph">
                  <wp:posOffset>283210</wp:posOffset>
                </wp:positionV>
                <wp:extent cx="9124950" cy="3538220"/>
                <wp:effectExtent l="0" t="0" r="1905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0" cy="3538220"/>
                        </a:xfrm>
                        <a:prstGeom prst="rect">
                          <a:avLst/>
                        </a:prstGeom>
                        <a:solidFill>
                          <a:srgbClr val="FFFFFF"/>
                        </a:solidFill>
                        <a:ln w="9525">
                          <a:solidFill>
                            <a:srgbClr val="000000"/>
                          </a:solidFill>
                          <a:miter lim="800000"/>
                          <a:headEnd/>
                          <a:tailEnd/>
                        </a:ln>
                      </wps:spPr>
                      <wps:txbx>
                        <w:txbxContent>
                          <w:p w14:paraId="6D2C7243" w14:textId="4FDBEFA0" w:rsidR="001432AA" w:rsidRPr="00E31548" w:rsidRDefault="001432AA" w:rsidP="001432AA">
                            <w:pPr>
                              <w:tabs>
                                <w:tab w:val="left" w:pos="3060"/>
                              </w:tabs>
                              <w:rPr>
                                <w:b/>
                                <w:sz w:val="20"/>
                              </w:rPr>
                            </w:pPr>
                            <w:r w:rsidRPr="00E31548">
                              <w:rPr>
                                <w:b/>
                                <w:sz w:val="20"/>
                              </w:rPr>
                              <w:t>Summary statement and key recommendations:</w:t>
                            </w:r>
                            <w:r>
                              <w:rPr>
                                <w:b/>
                                <w:sz w:val="20"/>
                              </w:rPr>
                              <w:t xml:space="preserve">  </w:t>
                            </w:r>
                            <w:r w:rsidR="00A14CB8" w:rsidRPr="00A14CB8">
                              <w:rPr>
                                <w:sz w:val="20"/>
                              </w:rPr>
                              <w:t xml:space="preserve"> </w:t>
                            </w:r>
                          </w:p>
                          <w:p w14:paraId="5D286B79" w14:textId="77777777" w:rsidR="001432AA" w:rsidRDefault="001432AA" w:rsidP="001432AA">
                            <w:pPr>
                              <w:tabs>
                                <w:tab w:val="left" w:pos="3060"/>
                              </w:tabs>
                              <w:spacing w:after="0"/>
                              <w:rPr>
                                <w:noProo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953C8A9" id="_x0000_t202" coordsize="21600,21600" o:spt="202" path="m,l,21600r21600,l21600,xe">
                <v:stroke joinstyle="miter"/>
                <v:path gradientshapeok="t" o:connecttype="rect"/>
              </v:shapetype>
              <v:shape id="Text Box 2" o:spid="_x0000_s1026" type="#_x0000_t202" style="position:absolute;margin-left:-1.5pt;margin-top:22.3pt;width:718.5pt;height:27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">
                <v:textbox style="mso-fit-shape-to-text:t">
                  <w:txbxContent>
                    <w:p w14:paraId="6D2C7243" w14:textId="4FDBEFA0" w:rsidR="001432AA" w:rsidRPr="00E31548" w:rsidRDefault="001432AA" w:rsidP="001432AA">
                      <w:pPr>
                        <w:tabs>
                          <w:tab w:val="left" w:pos="3060"/>
                        </w:tabs>
                        <w:rPr>
                          <w:b/>
                          <w:sz w:val="20"/>
                        </w:rPr>
                      </w:pPr>
                      <w:r w:rsidRPr="00E31548">
                        <w:rPr>
                          <w:b/>
                          <w:sz w:val="20"/>
                        </w:rPr>
                        <w:t>Summary statement and key recommendations:</w:t>
                      </w:r>
                      <w:r>
                        <w:rPr>
                          <w:b/>
                          <w:sz w:val="20"/>
                        </w:rPr>
                        <w:t xml:space="preserve">  </w:t>
                      </w:r>
                      <w:r w:rsidR="00A14CB8" w:rsidRPr="00A14CB8">
                        <w:rPr>
                          <w:sz w:val="20"/>
                        </w:rPr>
                        <w:t xml:space="preserve"> </w:t>
                      </w:r>
                    </w:p>
                    <w:p w14:paraId="5D286B79" w14:textId="77777777" w:rsidR="001432AA" w:rsidRDefault="001432AA" w:rsidP="001432AA">
                      <w:pPr>
                        <w:tabs>
                          <w:tab w:val="left" w:pos="3060"/>
                        </w:tabs>
                        <w:spacing w:after="0"/>
                        <w:rPr>
                          <w:noProof/>
                        </w:rPr>
                      </w:pPr>
                    </w:p>
                  </w:txbxContent>
                </v:textbox>
                <w10:wrap type="square"/>
              </v:shape>
            </w:pict>
          </mc:Fallback>
        </mc:AlternateContent>
      </w:r>
      <w:r w:rsidRPr="00E31548">
        <w:rPr>
          <w:sz w:val="20"/>
          <w:szCs w:val="20"/>
        </w:rPr>
        <w:t xml:space="preserve">Advisor: </w:t>
      </w:r>
      <w:r w:rsidRPr="00E31548">
        <w:rPr>
          <w:sz w:val="20"/>
          <w:szCs w:val="20"/>
        </w:rPr>
        <w:tab/>
      </w:r>
    </w:p>
    <w:p w14:paraId="6D742F71" w14:textId="77777777" w:rsidR="001432AA" w:rsidRPr="00E31548" w:rsidRDefault="001432AA" w:rsidP="001432AA">
      <w:pPr>
        <w:tabs>
          <w:tab w:val="left" w:pos="3060"/>
        </w:tabs>
        <w:rPr>
          <w:sz w:val="20"/>
          <w:szCs w:val="20"/>
        </w:rPr>
      </w:pPr>
      <w:r w:rsidRPr="00E31548">
        <w:rPr>
          <w:sz w:val="20"/>
          <w:szCs w:val="20"/>
        </w:rPr>
        <w:t>Optional student and advisor follow-up/response is encouraged and can be included here or appended as additional documents.</w:t>
      </w:r>
    </w:p>
    <w:tbl>
      <w:tblPr>
        <w:tblStyle w:val="TableGrid"/>
        <w:tblW w:w="0" w:type="auto"/>
        <w:tblLook w:val="04A0" w:firstRow="1" w:lastRow="0" w:firstColumn="1" w:lastColumn="0" w:noHBand="0" w:noVBand="1"/>
      </w:tblPr>
      <w:tblGrid>
        <w:gridCol w:w="1759"/>
        <w:gridCol w:w="7896"/>
        <w:gridCol w:w="4735"/>
      </w:tblGrid>
      <w:tr w:rsidR="001432AA" w:rsidRPr="005D709A" w14:paraId="3CF566E1" w14:textId="77777777" w:rsidTr="00A14CB8">
        <w:tc>
          <w:tcPr>
            <w:tcW w:w="1759" w:type="dxa"/>
            <w:tcMar>
              <w:left w:w="43" w:type="dxa"/>
              <w:right w:w="43" w:type="dxa"/>
            </w:tcMar>
          </w:tcPr>
          <w:p w14:paraId="1D4CEFD3" w14:textId="77777777" w:rsidR="001432AA" w:rsidRPr="005D709A" w:rsidRDefault="001432AA" w:rsidP="00C40B48">
            <w:pPr>
              <w:pStyle w:val="NoSpacing"/>
              <w:rPr>
                <w:rFonts w:cs="Times New Roman"/>
                <w:b/>
                <w:sz w:val="24"/>
                <w:szCs w:val="20"/>
              </w:rPr>
            </w:pPr>
            <w:r w:rsidRPr="005D709A">
              <w:rPr>
                <w:rFonts w:cs="Times New Roman"/>
                <w:b/>
                <w:sz w:val="24"/>
                <w:szCs w:val="20"/>
              </w:rPr>
              <w:t>Program Area</w:t>
            </w:r>
          </w:p>
        </w:tc>
        <w:tc>
          <w:tcPr>
            <w:tcW w:w="7896" w:type="dxa"/>
          </w:tcPr>
          <w:p w14:paraId="2B99292D" w14:textId="77777777" w:rsidR="001432AA" w:rsidRPr="005D709A" w:rsidRDefault="001432AA" w:rsidP="00C40B48">
            <w:pPr>
              <w:pStyle w:val="NoSpacing"/>
              <w:rPr>
                <w:rFonts w:cs="Times New Roman"/>
                <w:b/>
                <w:sz w:val="24"/>
                <w:szCs w:val="20"/>
              </w:rPr>
            </w:pPr>
            <w:r w:rsidRPr="005D709A">
              <w:rPr>
                <w:rFonts w:cs="Times New Roman"/>
                <w:b/>
                <w:sz w:val="24"/>
                <w:szCs w:val="20"/>
              </w:rPr>
              <w:t>Description of Requirement</w:t>
            </w:r>
          </w:p>
        </w:tc>
        <w:tc>
          <w:tcPr>
            <w:tcW w:w="4735" w:type="dxa"/>
          </w:tcPr>
          <w:p w14:paraId="2DCD6DAE" w14:textId="77777777" w:rsidR="001432AA" w:rsidRPr="005D709A" w:rsidRDefault="001432AA" w:rsidP="00C40B48">
            <w:pPr>
              <w:pStyle w:val="NoSpacing"/>
              <w:rPr>
                <w:rFonts w:cs="Times New Roman"/>
                <w:b/>
                <w:sz w:val="24"/>
                <w:szCs w:val="20"/>
              </w:rPr>
            </w:pPr>
            <w:r w:rsidRPr="005D709A">
              <w:rPr>
                <w:rFonts w:cs="Times New Roman"/>
                <w:b/>
                <w:sz w:val="24"/>
                <w:szCs w:val="20"/>
              </w:rPr>
              <w:t>Student Progress</w:t>
            </w:r>
          </w:p>
        </w:tc>
      </w:tr>
      <w:tr w:rsidR="001432AA" w:rsidRPr="00E31548" w14:paraId="687800CF" w14:textId="77777777" w:rsidTr="00A14CB8">
        <w:trPr>
          <w:trHeight w:val="1025"/>
        </w:trPr>
        <w:tc>
          <w:tcPr>
            <w:tcW w:w="1759" w:type="dxa"/>
            <w:tcMar>
              <w:left w:w="43" w:type="dxa"/>
              <w:right w:w="43" w:type="dxa"/>
            </w:tcMar>
          </w:tcPr>
          <w:p w14:paraId="2D78A832"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Preparatory Engineering Classes</w:t>
            </w:r>
          </w:p>
        </w:tc>
        <w:tc>
          <w:tcPr>
            <w:tcW w:w="7896" w:type="dxa"/>
          </w:tcPr>
          <w:p w14:paraId="08D95392"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Students entering the department without previous B.S. degrees in Chemical Engineering are take required or recommended classes to prepare for the PhD qualifier courses listed below. There is no required grade in these classes except that the grades do influence overall GPA.</w:t>
            </w:r>
          </w:p>
        </w:tc>
        <w:tc>
          <w:tcPr>
            <w:tcW w:w="4735" w:type="dxa"/>
          </w:tcPr>
          <w:p w14:paraId="1467AD82" w14:textId="4384BB0B" w:rsidR="001432AA" w:rsidRPr="00E31548" w:rsidRDefault="001432AA" w:rsidP="00C40B48">
            <w:pPr>
              <w:pStyle w:val="NoSpacing"/>
              <w:spacing w:after="200"/>
              <w:rPr>
                <w:rFonts w:cs="Times New Roman"/>
                <w:sz w:val="20"/>
                <w:szCs w:val="20"/>
              </w:rPr>
            </w:pPr>
          </w:p>
        </w:tc>
      </w:tr>
      <w:tr w:rsidR="001432AA" w:rsidRPr="00E31548" w14:paraId="2FABE034" w14:textId="77777777" w:rsidTr="00A14CB8">
        <w:tc>
          <w:tcPr>
            <w:tcW w:w="1759" w:type="dxa"/>
            <w:tcMar>
              <w:left w:w="43" w:type="dxa"/>
              <w:right w:w="43" w:type="dxa"/>
            </w:tcMar>
          </w:tcPr>
          <w:p w14:paraId="5EC3E1F5"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PhD Qualifier</w:t>
            </w:r>
          </w:p>
        </w:tc>
        <w:tc>
          <w:tcPr>
            <w:tcW w:w="7896" w:type="dxa"/>
          </w:tcPr>
          <w:p w14:paraId="1BC06F43" w14:textId="77777777" w:rsidR="001432AA" w:rsidRPr="00E31548" w:rsidRDefault="001432AA" w:rsidP="00C40B48">
            <w:pPr>
              <w:pStyle w:val="NoSpacing"/>
              <w:rPr>
                <w:rFonts w:cs="Times New Roman"/>
                <w:sz w:val="20"/>
                <w:szCs w:val="20"/>
              </w:rPr>
            </w:pPr>
            <w:r w:rsidRPr="00E31548">
              <w:rPr>
                <w:rFonts w:cs="Times New Roman"/>
                <w:sz w:val="20"/>
                <w:szCs w:val="20"/>
              </w:rPr>
              <w:t>“The requirement is satisfied if the GPA for the four core areas is 3.50 or better. Students who do not pass the Qualifying Requirement may petition to complete the Qualifying Requirement by an alternative method acceptable to the research advisor, the PhD examination committee, and the departmental graduate faculty.” While students may be exempted from requirements in the core based on previous coursework, grades from other institutions are typically not used in calculating passage of GPA in the University of Iowa core classes.</w:t>
            </w:r>
          </w:p>
          <w:p w14:paraId="40792F76" w14:textId="77777777" w:rsidR="001432AA" w:rsidRPr="00E31548" w:rsidRDefault="001432AA" w:rsidP="00C40B48">
            <w:pPr>
              <w:pStyle w:val="NoSpacing"/>
              <w:rPr>
                <w:rFonts w:cs="Times New Roman"/>
                <w:sz w:val="20"/>
                <w:szCs w:val="20"/>
              </w:rPr>
            </w:pPr>
            <w:r w:rsidRPr="00E31548">
              <w:rPr>
                <w:rFonts w:cs="Times New Roman"/>
                <w:sz w:val="20"/>
                <w:szCs w:val="20"/>
              </w:rPr>
              <w:t>Technical Communication</w:t>
            </w:r>
          </w:p>
          <w:p w14:paraId="041E9EB5" w14:textId="375E581F" w:rsidR="001432AA" w:rsidRPr="00E31548" w:rsidRDefault="001432AA" w:rsidP="00C40B48">
            <w:pPr>
              <w:pStyle w:val="NoSpacing"/>
              <w:numPr>
                <w:ilvl w:val="0"/>
                <w:numId w:val="2"/>
              </w:numPr>
              <w:rPr>
                <w:rFonts w:cs="Times New Roman"/>
                <w:sz w:val="20"/>
                <w:szCs w:val="20"/>
              </w:rPr>
            </w:pPr>
            <w:r w:rsidRPr="00E31548">
              <w:rPr>
                <w:rFonts w:cs="Times New Roman"/>
                <w:sz w:val="20"/>
                <w:szCs w:val="20"/>
              </w:rPr>
              <w:t xml:space="preserve">Intro to Lit Review and Proposal Writing </w:t>
            </w:r>
            <w:r w:rsidR="000E336A">
              <w:rPr>
                <w:rFonts w:cs="Times New Roman"/>
                <w:sz w:val="20"/>
                <w:szCs w:val="20"/>
              </w:rPr>
              <w:t>CBE:5105</w:t>
            </w:r>
          </w:p>
          <w:p w14:paraId="25BB3B41" w14:textId="15B1036A" w:rsidR="001432AA" w:rsidRPr="00E31548" w:rsidRDefault="001432AA" w:rsidP="00FA2DF1">
            <w:pPr>
              <w:pStyle w:val="NoSpacing"/>
              <w:tabs>
                <w:tab w:val="left" w:pos="2790"/>
              </w:tabs>
              <w:rPr>
                <w:rFonts w:cs="Times New Roman"/>
                <w:sz w:val="20"/>
                <w:szCs w:val="20"/>
              </w:rPr>
            </w:pPr>
            <w:r w:rsidRPr="00E31548">
              <w:rPr>
                <w:rFonts w:cs="Times New Roman"/>
                <w:sz w:val="20"/>
                <w:szCs w:val="20"/>
              </w:rPr>
              <w:t>Thermodynamics</w:t>
            </w:r>
            <w:r w:rsidR="00FA2DF1">
              <w:rPr>
                <w:rFonts w:cs="Times New Roman"/>
                <w:sz w:val="20"/>
                <w:szCs w:val="20"/>
              </w:rPr>
              <w:tab/>
            </w:r>
          </w:p>
          <w:p w14:paraId="1ADCFA9E" w14:textId="1C91FA02" w:rsidR="001432AA" w:rsidRPr="00E31548" w:rsidRDefault="001432AA" w:rsidP="00C40B48">
            <w:pPr>
              <w:pStyle w:val="NoSpacing"/>
              <w:numPr>
                <w:ilvl w:val="0"/>
                <w:numId w:val="2"/>
              </w:numPr>
              <w:rPr>
                <w:rFonts w:cs="Times New Roman"/>
                <w:sz w:val="20"/>
                <w:szCs w:val="20"/>
              </w:rPr>
            </w:pPr>
            <w:r w:rsidRPr="00E31548">
              <w:rPr>
                <w:rFonts w:cs="Times New Roman"/>
                <w:sz w:val="20"/>
                <w:szCs w:val="20"/>
              </w:rPr>
              <w:t xml:space="preserve">Intermediate Thermodynamics </w:t>
            </w:r>
            <w:r w:rsidR="000E336A">
              <w:rPr>
                <w:rFonts w:cs="Times New Roman"/>
                <w:sz w:val="20"/>
                <w:szCs w:val="20"/>
              </w:rPr>
              <w:t>CBE:5110</w:t>
            </w:r>
          </w:p>
          <w:p w14:paraId="2A87363F" w14:textId="77777777" w:rsidR="001432AA" w:rsidRPr="00E31548" w:rsidRDefault="001432AA" w:rsidP="00C40B48">
            <w:pPr>
              <w:pStyle w:val="NoSpacing"/>
              <w:rPr>
                <w:rFonts w:cs="Times New Roman"/>
                <w:sz w:val="20"/>
                <w:szCs w:val="20"/>
              </w:rPr>
            </w:pPr>
            <w:r w:rsidRPr="00E31548">
              <w:rPr>
                <w:rFonts w:cs="Times New Roman"/>
                <w:sz w:val="20"/>
                <w:szCs w:val="20"/>
              </w:rPr>
              <w:t>Transport</w:t>
            </w:r>
          </w:p>
          <w:p w14:paraId="2038E73B" w14:textId="73CFDE1E" w:rsidR="001432AA" w:rsidRPr="00E31548" w:rsidRDefault="001432AA" w:rsidP="00C40B48">
            <w:pPr>
              <w:pStyle w:val="NoSpacing"/>
              <w:numPr>
                <w:ilvl w:val="0"/>
                <w:numId w:val="2"/>
              </w:numPr>
              <w:rPr>
                <w:rFonts w:cs="Times New Roman"/>
                <w:sz w:val="20"/>
                <w:szCs w:val="20"/>
              </w:rPr>
            </w:pPr>
            <w:r w:rsidRPr="00E31548">
              <w:rPr>
                <w:rFonts w:cs="Times New Roman"/>
                <w:sz w:val="20"/>
                <w:szCs w:val="20"/>
              </w:rPr>
              <w:t xml:space="preserve">Transport Phenomenon </w:t>
            </w:r>
            <w:r w:rsidR="000E336A">
              <w:rPr>
                <w:rFonts w:cs="Times New Roman"/>
                <w:sz w:val="20"/>
                <w:szCs w:val="20"/>
              </w:rPr>
              <w:t>CBE:5115</w:t>
            </w:r>
          </w:p>
          <w:p w14:paraId="420B7BD4" w14:textId="77777777" w:rsidR="001432AA" w:rsidRPr="00E31548" w:rsidRDefault="001432AA" w:rsidP="00C40B48">
            <w:pPr>
              <w:pStyle w:val="NoSpacing"/>
              <w:rPr>
                <w:rFonts w:cs="Times New Roman"/>
                <w:sz w:val="20"/>
                <w:szCs w:val="20"/>
              </w:rPr>
            </w:pPr>
            <w:r w:rsidRPr="00E31548">
              <w:rPr>
                <w:rFonts w:cs="Times New Roman"/>
                <w:sz w:val="20"/>
                <w:szCs w:val="20"/>
              </w:rPr>
              <w:t>Kinetics</w:t>
            </w:r>
          </w:p>
          <w:p w14:paraId="4D9A5319" w14:textId="1C8918C8" w:rsidR="001432AA" w:rsidRPr="00E31548" w:rsidRDefault="001432AA" w:rsidP="00C40B48">
            <w:pPr>
              <w:pStyle w:val="NoSpacing"/>
              <w:numPr>
                <w:ilvl w:val="0"/>
                <w:numId w:val="2"/>
              </w:numPr>
              <w:rPr>
                <w:rFonts w:cs="Times New Roman"/>
                <w:sz w:val="20"/>
                <w:szCs w:val="20"/>
              </w:rPr>
            </w:pPr>
            <w:r w:rsidRPr="00E31548">
              <w:rPr>
                <w:rFonts w:cs="Times New Roman"/>
                <w:sz w:val="20"/>
                <w:szCs w:val="20"/>
              </w:rPr>
              <w:t xml:space="preserve">Intro to Biochemical Engineering </w:t>
            </w:r>
            <w:r w:rsidR="000E336A">
              <w:rPr>
                <w:rFonts w:cs="Times New Roman"/>
                <w:sz w:val="20"/>
                <w:szCs w:val="20"/>
              </w:rPr>
              <w:t>CBE:5205</w:t>
            </w:r>
          </w:p>
          <w:p w14:paraId="3472D32E" w14:textId="4DB75520" w:rsidR="001432AA" w:rsidRPr="00E31548" w:rsidRDefault="001432AA" w:rsidP="00C40B48">
            <w:pPr>
              <w:pStyle w:val="NoSpacing"/>
              <w:numPr>
                <w:ilvl w:val="0"/>
                <w:numId w:val="2"/>
              </w:numPr>
              <w:rPr>
                <w:rFonts w:cs="Times New Roman"/>
                <w:sz w:val="20"/>
                <w:szCs w:val="20"/>
              </w:rPr>
            </w:pPr>
            <w:r w:rsidRPr="00E31548">
              <w:rPr>
                <w:rFonts w:cs="Times New Roman"/>
                <w:sz w:val="20"/>
                <w:szCs w:val="20"/>
              </w:rPr>
              <w:t xml:space="preserve">Atmospheric Chemistry &amp; Physics </w:t>
            </w:r>
            <w:r w:rsidR="000E336A">
              <w:rPr>
                <w:rFonts w:cs="Times New Roman"/>
                <w:sz w:val="20"/>
                <w:szCs w:val="20"/>
              </w:rPr>
              <w:t>CBE:5425</w:t>
            </w:r>
          </w:p>
          <w:p w14:paraId="341C512C" w14:textId="187177AC" w:rsidR="001432AA" w:rsidRPr="00E31548" w:rsidRDefault="001432AA" w:rsidP="00C40B48">
            <w:pPr>
              <w:pStyle w:val="NoSpacing"/>
              <w:numPr>
                <w:ilvl w:val="0"/>
                <w:numId w:val="2"/>
              </w:numPr>
              <w:rPr>
                <w:rFonts w:cs="Times New Roman"/>
                <w:sz w:val="20"/>
                <w:szCs w:val="20"/>
              </w:rPr>
            </w:pPr>
            <w:r w:rsidRPr="00E31548">
              <w:rPr>
                <w:rFonts w:cs="Times New Roman"/>
                <w:sz w:val="20"/>
                <w:szCs w:val="20"/>
              </w:rPr>
              <w:t xml:space="preserve">Polymer Chemistry </w:t>
            </w:r>
            <w:r w:rsidR="000E336A">
              <w:rPr>
                <w:rFonts w:cs="Times New Roman"/>
                <w:sz w:val="20"/>
                <w:szCs w:val="20"/>
              </w:rPr>
              <w:t>CBE:5315</w:t>
            </w:r>
          </w:p>
        </w:tc>
        <w:tc>
          <w:tcPr>
            <w:tcW w:w="4735" w:type="dxa"/>
          </w:tcPr>
          <w:p w14:paraId="3D62C712" w14:textId="77777777" w:rsidR="001432AA" w:rsidRPr="00E31548" w:rsidRDefault="001432AA" w:rsidP="00C40B48">
            <w:pPr>
              <w:pStyle w:val="NoSpacing"/>
              <w:tabs>
                <w:tab w:val="right" w:pos="4519"/>
              </w:tabs>
              <w:rPr>
                <w:rFonts w:cs="Times New Roman"/>
                <w:b/>
                <w:sz w:val="20"/>
                <w:szCs w:val="20"/>
              </w:rPr>
            </w:pPr>
            <w:r w:rsidRPr="00E31548">
              <w:rPr>
                <w:rFonts w:cs="Times New Roman"/>
                <w:b/>
                <w:sz w:val="20"/>
                <w:szCs w:val="20"/>
              </w:rPr>
              <w:t>Technical Communication</w:t>
            </w:r>
          </w:p>
          <w:p w14:paraId="117BDF53" w14:textId="4AC40FDC" w:rsidR="001432AA" w:rsidRPr="00E31548" w:rsidRDefault="001432AA" w:rsidP="00C40B48">
            <w:pPr>
              <w:pStyle w:val="NoSpacing"/>
              <w:numPr>
                <w:ilvl w:val="0"/>
                <w:numId w:val="2"/>
              </w:numPr>
              <w:tabs>
                <w:tab w:val="right" w:pos="4519"/>
              </w:tabs>
              <w:ind w:left="198" w:hanging="235"/>
              <w:rPr>
                <w:rFonts w:cs="Times New Roman"/>
                <w:sz w:val="20"/>
                <w:szCs w:val="20"/>
              </w:rPr>
            </w:pPr>
            <w:r w:rsidRPr="00E31548">
              <w:rPr>
                <w:rFonts w:cs="Times New Roman"/>
                <w:sz w:val="20"/>
                <w:szCs w:val="20"/>
              </w:rPr>
              <w:t xml:space="preserve">Intro Lit Review &amp; Proposal Writ </w:t>
            </w:r>
            <w:r w:rsidR="00783913">
              <w:rPr>
                <w:rFonts w:cs="Times New Roman"/>
                <w:sz w:val="20"/>
                <w:szCs w:val="20"/>
              </w:rPr>
              <w:t>CBE:5105</w:t>
            </w:r>
            <w:r w:rsidRPr="00E31548">
              <w:rPr>
                <w:rFonts w:cs="Times New Roman"/>
                <w:sz w:val="20"/>
                <w:szCs w:val="20"/>
              </w:rPr>
              <w:tab/>
            </w:r>
          </w:p>
          <w:p w14:paraId="58332833" w14:textId="77777777" w:rsidR="001432AA" w:rsidRPr="00E31548" w:rsidRDefault="001432AA" w:rsidP="00C40B48">
            <w:pPr>
              <w:pStyle w:val="NoSpacing"/>
              <w:tabs>
                <w:tab w:val="right" w:pos="4519"/>
              </w:tabs>
              <w:spacing w:before="120"/>
              <w:rPr>
                <w:rFonts w:cs="Times New Roman"/>
                <w:b/>
                <w:sz w:val="20"/>
                <w:szCs w:val="20"/>
              </w:rPr>
            </w:pPr>
            <w:r w:rsidRPr="00E31548">
              <w:rPr>
                <w:rFonts w:cs="Times New Roman"/>
                <w:b/>
                <w:sz w:val="20"/>
                <w:szCs w:val="20"/>
              </w:rPr>
              <w:t>Thermodynamics</w:t>
            </w:r>
          </w:p>
          <w:p w14:paraId="3D9A1D72" w14:textId="608789F3" w:rsidR="001432AA" w:rsidRPr="00E31548" w:rsidRDefault="001432AA" w:rsidP="00C40B48">
            <w:pPr>
              <w:pStyle w:val="NoSpacing"/>
              <w:numPr>
                <w:ilvl w:val="0"/>
                <w:numId w:val="2"/>
              </w:numPr>
              <w:tabs>
                <w:tab w:val="right" w:pos="4519"/>
              </w:tabs>
              <w:ind w:left="109" w:hanging="146"/>
              <w:rPr>
                <w:rFonts w:cs="Times New Roman"/>
                <w:sz w:val="20"/>
                <w:szCs w:val="20"/>
              </w:rPr>
            </w:pPr>
            <w:r w:rsidRPr="00E31548">
              <w:rPr>
                <w:rFonts w:cs="Times New Roman"/>
                <w:sz w:val="20"/>
                <w:szCs w:val="20"/>
              </w:rPr>
              <w:t xml:space="preserve">Intermediate Thermodynamics </w:t>
            </w:r>
            <w:r w:rsidR="00783913">
              <w:rPr>
                <w:rFonts w:cs="Times New Roman"/>
                <w:sz w:val="20"/>
                <w:szCs w:val="20"/>
              </w:rPr>
              <w:t xml:space="preserve">CBE:5110 </w:t>
            </w:r>
            <w:r w:rsidRPr="00E31548">
              <w:rPr>
                <w:rFonts w:cs="Times New Roman"/>
                <w:sz w:val="20"/>
                <w:szCs w:val="20"/>
              </w:rPr>
              <w:tab/>
            </w:r>
          </w:p>
          <w:p w14:paraId="5C686DFD" w14:textId="77777777" w:rsidR="001432AA" w:rsidRPr="00E31548" w:rsidRDefault="001432AA" w:rsidP="00C40B48">
            <w:pPr>
              <w:pStyle w:val="NoSpacing"/>
              <w:tabs>
                <w:tab w:val="right" w:pos="4519"/>
              </w:tabs>
              <w:spacing w:before="120"/>
              <w:rPr>
                <w:rFonts w:cs="Times New Roman"/>
                <w:sz w:val="20"/>
                <w:szCs w:val="20"/>
              </w:rPr>
            </w:pPr>
            <w:r w:rsidRPr="00E31548">
              <w:rPr>
                <w:rFonts w:cs="Times New Roman"/>
                <w:b/>
                <w:sz w:val="20"/>
                <w:szCs w:val="20"/>
              </w:rPr>
              <w:t>Transport</w:t>
            </w:r>
          </w:p>
          <w:p w14:paraId="2D505901" w14:textId="31AAFE9F" w:rsidR="001432AA" w:rsidRPr="00972D34" w:rsidRDefault="001432AA" w:rsidP="00C40B48">
            <w:pPr>
              <w:pStyle w:val="NoSpacing"/>
              <w:numPr>
                <w:ilvl w:val="0"/>
                <w:numId w:val="2"/>
              </w:numPr>
              <w:tabs>
                <w:tab w:val="right" w:pos="4519"/>
              </w:tabs>
              <w:ind w:left="109" w:hanging="146"/>
              <w:rPr>
                <w:rFonts w:cs="Times New Roman"/>
                <w:noProof/>
                <w:color w:val="FF0000"/>
                <w:sz w:val="20"/>
                <w:szCs w:val="20"/>
              </w:rPr>
            </w:pPr>
            <w:r w:rsidRPr="00E31548">
              <w:rPr>
                <w:rFonts w:cs="Times New Roman"/>
                <w:sz w:val="20"/>
                <w:szCs w:val="20"/>
              </w:rPr>
              <w:t xml:space="preserve">Transport Phenomenon </w:t>
            </w:r>
            <w:r w:rsidR="000E336A">
              <w:rPr>
                <w:rFonts w:cs="Times New Roman"/>
                <w:sz w:val="20"/>
                <w:szCs w:val="20"/>
              </w:rPr>
              <w:t>CBE</w:t>
            </w:r>
            <w:r w:rsidRPr="00E31548">
              <w:rPr>
                <w:rFonts w:cs="Times New Roman"/>
                <w:sz w:val="20"/>
                <w:szCs w:val="20"/>
              </w:rPr>
              <w:t>:</w:t>
            </w:r>
            <w:r w:rsidR="000E336A">
              <w:rPr>
                <w:rFonts w:cs="Times New Roman"/>
                <w:sz w:val="20"/>
                <w:szCs w:val="20"/>
              </w:rPr>
              <w:t>5115</w:t>
            </w:r>
          </w:p>
          <w:p w14:paraId="7E7349E2" w14:textId="77777777" w:rsidR="001432AA" w:rsidRPr="00E31548" w:rsidRDefault="001432AA" w:rsidP="00C40B48">
            <w:pPr>
              <w:pStyle w:val="NoSpacing"/>
              <w:tabs>
                <w:tab w:val="right" w:pos="4519"/>
              </w:tabs>
              <w:ind w:left="109"/>
              <w:rPr>
                <w:rFonts w:cs="Times New Roman"/>
                <w:noProof/>
                <w:color w:val="FF0000"/>
                <w:sz w:val="20"/>
                <w:szCs w:val="20"/>
              </w:rPr>
            </w:pPr>
            <w:r w:rsidRPr="00E31548">
              <w:rPr>
                <w:rFonts w:cs="Times New Roman"/>
                <w:sz w:val="20"/>
                <w:szCs w:val="20"/>
              </w:rPr>
              <w:tab/>
            </w:r>
          </w:p>
          <w:p w14:paraId="27E67118" w14:textId="77777777" w:rsidR="001432AA" w:rsidRPr="00E31548" w:rsidRDefault="001432AA" w:rsidP="00C40B48">
            <w:pPr>
              <w:pStyle w:val="NoSpacing"/>
              <w:tabs>
                <w:tab w:val="right" w:pos="4519"/>
              </w:tabs>
              <w:spacing w:before="120"/>
              <w:rPr>
                <w:rFonts w:cs="Times New Roman"/>
                <w:b/>
                <w:sz w:val="20"/>
                <w:szCs w:val="20"/>
              </w:rPr>
            </w:pPr>
            <w:r w:rsidRPr="00E31548">
              <w:rPr>
                <w:rFonts w:cs="Times New Roman"/>
                <w:b/>
                <w:sz w:val="20"/>
                <w:szCs w:val="20"/>
              </w:rPr>
              <w:t>Kinetics</w:t>
            </w:r>
          </w:p>
          <w:p w14:paraId="4E8D6149" w14:textId="6AEB2DD7" w:rsidR="001432AA" w:rsidRPr="00E31548" w:rsidRDefault="001432AA" w:rsidP="00C40B48">
            <w:pPr>
              <w:pStyle w:val="NoSpacing"/>
              <w:numPr>
                <w:ilvl w:val="0"/>
                <w:numId w:val="2"/>
              </w:numPr>
              <w:tabs>
                <w:tab w:val="right" w:pos="4519"/>
              </w:tabs>
              <w:ind w:left="109" w:hanging="146"/>
              <w:rPr>
                <w:rFonts w:cs="Times New Roman"/>
                <w:sz w:val="20"/>
                <w:szCs w:val="20"/>
              </w:rPr>
            </w:pPr>
            <w:r w:rsidRPr="00E31548">
              <w:rPr>
                <w:rFonts w:cs="Times New Roman"/>
                <w:sz w:val="20"/>
                <w:szCs w:val="20"/>
              </w:rPr>
              <w:t xml:space="preserve">Intro to Biochemical </w:t>
            </w:r>
            <w:proofErr w:type="spellStart"/>
            <w:r w:rsidRPr="00E31548">
              <w:rPr>
                <w:rFonts w:cs="Times New Roman"/>
                <w:sz w:val="20"/>
                <w:szCs w:val="20"/>
              </w:rPr>
              <w:t>Engin</w:t>
            </w:r>
            <w:proofErr w:type="spellEnd"/>
            <w:r w:rsidRPr="00E31548">
              <w:rPr>
                <w:rFonts w:cs="Times New Roman"/>
                <w:sz w:val="20"/>
                <w:szCs w:val="20"/>
              </w:rPr>
              <w:t xml:space="preserve"> </w:t>
            </w:r>
            <w:r w:rsidR="000E336A">
              <w:rPr>
                <w:rFonts w:cs="Times New Roman"/>
                <w:sz w:val="20"/>
                <w:szCs w:val="20"/>
              </w:rPr>
              <w:t>CBE:5205</w:t>
            </w:r>
            <w:r w:rsidRPr="00E31548">
              <w:rPr>
                <w:rFonts w:cs="Times New Roman"/>
                <w:noProof/>
                <w:color w:val="FF0000"/>
                <w:sz w:val="20"/>
                <w:szCs w:val="20"/>
              </w:rPr>
              <w:tab/>
            </w:r>
          </w:p>
          <w:p w14:paraId="20DA16DF" w14:textId="37544AD3" w:rsidR="001432AA" w:rsidRPr="00E31548" w:rsidRDefault="001432AA" w:rsidP="00C40B48">
            <w:pPr>
              <w:pStyle w:val="NoSpacing"/>
              <w:numPr>
                <w:ilvl w:val="0"/>
                <w:numId w:val="2"/>
              </w:numPr>
              <w:tabs>
                <w:tab w:val="right" w:pos="4519"/>
              </w:tabs>
              <w:ind w:left="109" w:hanging="146"/>
              <w:rPr>
                <w:rFonts w:cs="Times New Roman"/>
                <w:sz w:val="20"/>
                <w:szCs w:val="20"/>
              </w:rPr>
            </w:pPr>
            <w:r w:rsidRPr="00E31548">
              <w:rPr>
                <w:rFonts w:cs="Times New Roman"/>
                <w:sz w:val="20"/>
                <w:szCs w:val="20"/>
              </w:rPr>
              <w:t xml:space="preserve">Atmospheric Chemistry &amp; Physics </w:t>
            </w:r>
            <w:r w:rsidR="000E336A">
              <w:rPr>
                <w:rFonts w:cs="Times New Roman"/>
                <w:sz w:val="20"/>
                <w:szCs w:val="20"/>
              </w:rPr>
              <w:t>CBE:5425</w:t>
            </w:r>
            <w:r w:rsidRPr="00E31548">
              <w:rPr>
                <w:rFonts w:cs="Times New Roman"/>
                <w:noProof/>
                <w:sz w:val="20"/>
                <w:szCs w:val="20"/>
              </w:rPr>
              <w:tab/>
            </w:r>
          </w:p>
          <w:p w14:paraId="69AC2B52" w14:textId="227A7FAA" w:rsidR="00783913" w:rsidRDefault="001432AA" w:rsidP="00C40B48">
            <w:pPr>
              <w:pStyle w:val="NoSpacing"/>
              <w:numPr>
                <w:ilvl w:val="0"/>
                <w:numId w:val="2"/>
              </w:numPr>
              <w:tabs>
                <w:tab w:val="right" w:pos="4519"/>
              </w:tabs>
              <w:ind w:left="109" w:hanging="146"/>
              <w:rPr>
                <w:rFonts w:cs="Times New Roman"/>
                <w:sz w:val="20"/>
                <w:szCs w:val="20"/>
              </w:rPr>
            </w:pPr>
            <w:r w:rsidRPr="00E31548">
              <w:rPr>
                <w:rFonts w:cs="Times New Roman"/>
                <w:sz w:val="20"/>
                <w:szCs w:val="20"/>
              </w:rPr>
              <w:t xml:space="preserve">Polymer Chemistry </w:t>
            </w:r>
            <w:r w:rsidR="000E336A">
              <w:rPr>
                <w:rFonts w:cs="Times New Roman"/>
                <w:sz w:val="20"/>
                <w:szCs w:val="20"/>
              </w:rPr>
              <w:t>CBE:5315</w:t>
            </w:r>
          </w:p>
          <w:p w14:paraId="5BB81A5E" w14:textId="77777777" w:rsidR="001432AA" w:rsidRDefault="001432AA" w:rsidP="00783913">
            <w:pPr>
              <w:pStyle w:val="NoSpacing"/>
              <w:tabs>
                <w:tab w:val="right" w:pos="4519"/>
              </w:tabs>
              <w:ind w:left="-37"/>
              <w:rPr>
                <w:rFonts w:cs="Times New Roman"/>
                <w:sz w:val="20"/>
                <w:szCs w:val="20"/>
              </w:rPr>
            </w:pPr>
            <w:r>
              <w:rPr>
                <w:rFonts w:cs="Times New Roman"/>
                <w:sz w:val="20"/>
                <w:szCs w:val="20"/>
              </w:rPr>
              <w:t xml:space="preserve">   </w:t>
            </w:r>
          </w:p>
          <w:p w14:paraId="40D87A31" w14:textId="77777777" w:rsidR="001432AA" w:rsidRDefault="001432AA" w:rsidP="00C40B48">
            <w:pPr>
              <w:pStyle w:val="NoSpacing"/>
              <w:tabs>
                <w:tab w:val="right" w:pos="4519"/>
              </w:tabs>
              <w:ind w:left="109"/>
              <w:rPr>
                <w:rFonts w:cs="Times New Roman"/>
                <w:sz w:val="20"/>
                <w:szCs w:val="20"/>
              </w:rPr>
            </w:pPr>
          </w:p>
          <w:p w14:paraId="4BD46ECF" w14:textId="6156898C" w:rsidR="001432AA" w:rsidRPr="00E31548" w:rsidRDefault="001432AA" w:rsidP="00783913">
            <w:pPr>
              <w:pStyle w:val="NoSpacing"/>
              <w:tabs>
                <w:tab w:val="right" w:pos="4519"/>
              </w:tabs>
              <w:spacing w:before="200" w:after="200"/>
              <w:rPr>
                <w:rFonts w:cs="Times New Roman"/>
                <w:sz w:val="20"/>
                <w:szCs w:val="20"/>
              </w:rPr>
            </w:pPr>
            <w:r w:rsidRPr="00E31548">
              <w:rPr>
                <w:rFonts w:cs="Times New Roman"/>
                <w:b/>
                <w:sz w:val="20"/>
                <w:szCs w:val="20"/>
              </w:rPr>
              <w:tab/>
              <w:t>Current core GPA</w:t>
            </w:r>
            <w:r>
              <w:rPr>
                <w:rFonts w:cs="Times New Roman"/>
                <w:b/>
                <w:sz w:val="20"/>
                <w:szCs w:val="20"/>
              </w:rPr>
              <w:t xml:space="preserve">: </w:t>
            </w:r>
          </w:p>
        </w:tc>
      </w:tr>
      <w:tr w:rsidR="001432AA" w:rsidRPr="00E31548" w14:paraId="20375BA9" w14:textId="77777777" w:rsidTr="00A14CB8">
        <w:tc>
          <w:tcPr>
            <w:tcW w:w="1759" w:type="dxa"/>
            <w:tcMar>
              <w:left w:w="43" w:type="dxa"/>
              <w:right w:w="43" w:type="dxa"/>
            </w:tcMar>
          </w:tcPr>
          <w:p w14:paraId="6FC4FF08" w14:textId="77777777" w:rsidR="001432AA" w:rsidRPr="00E31548" w:rsidRDefault="001432AA" w:rsidP="00C40B48">
            <w:pPr>
              <w:pStyle w:val="NoSpacing"/>
              <w:spacing w:after="200"/>
              <w:rPr>
                <w:rFonts w:cs="Times New Roman"/>
                <w:sz w:val="20"/>
                <w:szCs w:val="20"/>
              </w:rPr>
            </w:pPr>
            <w:r w:rsidRPr="00E31548">
              <w:rPr>
                <w:sz w:val="20"/>
                <w:szCs w:val="20"/>
              </w:rPr>
              <w:br w:type="page"/>
            </w:r>
            <w:r w:rsidRPr="00E31548">
              <w:rPr>
                <w:rFonts w:cs="Times New Roman"/>
                <w:sz w:val="20"/>
                <w:szCs w:val="20"/>
              </w:rPr>
              <w:t>Research committee formation</w:t>
            </w:r>
          </w:p>
        </w:tc>
        <w:tc>
          <w:tcPr>
            <w:tcW w:w="7896" w:type="dxa"/>
          </w:tcPr>
          <w:p w14:paraId="7378D56E" w14:textId="77777777" w:rsidR="001432AA" w:rsidRPr="00E31548" w:rsidRDefault="001432AA" w:rsidP="00C40B48">
            <w:pPr>
              <w:keepNext/>
              <w:spacing w:after="200"/>
              <w:rPr>
                <w:rFonts w:cs="Times New Roman"/>
                <w:sz w:val="20"/>
                <w:szCs w:val="20"/>
              </w:rPr>
            </w:pPr>
            <w:r w:rsidRPr="00E31548">
              <w:rPr>
                <w:rFonts w:cs="Times New Roman"/>
                <w:sz w:val="20"/>
                <w:szCs w:val="20"/>
              </w:rPr>
              <w:t>The PhD committee normally has five members, one of which must be from outside the department. By the 3</w:t>
            </w:r>
            <w:r w:rsidRPr="00E31548">
              <w:rPr>
                <w:rFonts w:cs="Times New Roman"/>
                <w:sz w:val="20"/>
                <w:szCs w:val="20"/>
                <w:vertAlign w:val="superscript"/>
              </w:rPr>
              <w:t>rd</w:t>
            </w:r>
            <w:r w:rsidRPr="00E31548">
              <w:rPr>
                <w:rFonts w:cs="Times New Roman"/>
                <w:sz w:val="20"/>
                <w:szCs w:val="20"/>
              </w:rPr>
              <w:t xml:space="preserve"> semester, the CBE department participants of the committee should be confirmed as participating on the committee.</w:t>
            </w:r>
          </w:p>
        </w:tc>
        <w:tc>
          <w:tcPr>
            <w:tcW w:w="4735" w:type="dxa"/>
          </w:tcPr>
          <w:p w14:paraId="7DA0E327" w14:textId="2A1D00ED" w:rsidR="001432AA" w:rsidRPr="00E31548" w:rsidRDefault="001432AA" w:rsidP="00C40B48">
            <w:pPr>
              <w:pStyle w:val="NoSpacing"/>
              <w:spacing w:after="200"/>
              <w:rPr>
                <w:rFonts w:cs="Times New Roman"/>
                <w:sz w:val="20"/>
                <w:szCs w:val="20"/>
              </w:rPr>
            </w:pPr>
          </w:p>
        </w:tc>
      </w:tr>
      <w:tr w:rsidR="001432AA" w:rsidRPr="00E31548" w14:paraId="74219CF9" w14:textId="77777777" w:rsidTr="00A14CB8">
        <w:tc>
          <w:tcPr>
            <w:tcW w:w="1759" w:type="dxa"/>
            <w:tcMar>
              <w:left w:w="43" w:type="dxa"/>
              <w:right w:w="43" w:type="dxa"/>
            </w:tcMar>
          </w:tcPr>
          <w:p w14:paraId="06C42C0E"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lastRenderedPageBreak/>
              <w:t>Annual Progress Report</w:t>
            </w:r>
          </w:p>
        </w:tc>
        <w:tc>
          <w:tcPr>
            <w:tcW w:w="7896" w:type="dxa"/>
          </w:tcPr>
          <w:p w14:paraId="2EDAB768"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An annual “Graduate Progress Update” must be submitted each year prior to the Friday of the 6</w:t>
            </w:r>
            <w:r w:rsidRPr="00E31548">
              <w:rPr>
                <w:rFonts w:cs="Times New Roman"/>
                <w:sz w:val="20"/>
                <w:szCs w:val="20"/>
                <w:vertAlign w:val="superscript"/>
              </w:rPr>
              <w:t>th</w:t>
            </w:r>
            <w:r w:rsidRPr="00E31548">
              <w:rPr>
                <w:rFonts w:cs="Times New Roman"/>
                <w:sz w:val="20"/>
                <w:szCs w:val="20"/>
              </w:rPr>
              <w:t xml:space="preserve"> week of the spring semester. This usually serves as key material for a subsequent committee meeting.</w:t>
            </w:r>
          </w:p>
        </w:tc>
        <w:tc>
          <w:tcPr>
            <w:tcW w:w="4735" w:type="dxa"/>
          </w:tcPr>
          <w:p w14:paraId="17BACB9A" w14:textId="426C8247" w:rsidR="001432AA" w:rsidRPr="00E31548" w:rsidRDefault="001432AA" w:rsidP="00C40B48">
            <w:pPr>
              <w:pStyle w:val="NoSpacing"/>
              <w:spacing w:after="200"/>
              <w:rPr>
                <w:rFonts w:cs="Times New Roman"/>
                <w:noProof/>
                <w:sz w:val="20"/>
                <w:szCs w:val="20"/>
              </w:rPr>
            </w:pPr>
            <w:r w:rsidRPr="00F0151B">
              <w:rPr>
                <w:rFonts w:cs="Times New Roman"/>
                <w:noProof/>
                <w:color w:val="FF0000"/>
                <w:sz w:val="20"/>
                <w:szCs w:val="20"/>
              </w:rPr>
              <w:t>The report is due</w:t>
            </w:r>
            <w:r w:rsidRPr="00F0151B">
              <w:rPr>
                <w:rFonts w:cs="Times New Roman"/>
                <w:color w:val="FF0000"/>
                <w:sz w:val="20"/>
                <w:szCs w:val="20"/>
              </w:rPr>
              <w:t xml:space="preserve"> </w:t>
            </w:r>
            <w:r w:rsidR="00F0151B">
              <w:rPr>
                <w:rFonts w:cs="Times New Roman"/>
                <w:noProof/>
                <w:color w:val="FF0000"/>
                <w:sz w:val="20"/>
                <w:szCs w:val="20"/>
              </w:rPr>
              <w:t>March 1</w:t>
            </w:r>
            <w:r w:rsidR="00231585">
              <w:rPr>
                <w:rFonts w:cs="Times New Roman"/>
                <w:noProof/>
                <w:color w:val="FF0000"/>
                <w:sz w:val="20"/>
                <w:szCs w:val="20"/>
              </w:rPr>
              <w:t>, 20</w:t>
            </w:r>
            <w:r w:rsidR="000E336A">
              <w:rPr>
                <w:rFonts w:cs="Times New Roman"/>
                <w:noProof/>
                <w:color w:val="FF0000"/>
                <w:sz w:val="20"/>
                <w:szCs w:val="20"/>
              </w:rPr>
              <w:t>20</w:t>
            </w:r>
            <w:r w:rsidRPr="00E31548">
              <w:rPr>
                <w:rFonts w:cs="Times New Roman"/>
                <w:color w:val="FF0000"/>
                <w:sz w:val="20"/>
                <w:szCs w:val="20"/>
              </w:rPr>
              <w:t xml:space="preserve"> </w:t>
            </w:r>
            <w:r w:rsidRPr="00E31548">
              <w:rPr>
                <w:rFonts w:cs="Times New Roman"/>
                <w:noProof/>
                <w:sz w:val="20"/>
                <w:szCs w:val="20"/>
              </w:rPr>
              <w:t>and the form can be found in the graduate handbook.</w:t>
            </w:r>
          </w:p>
        </w:tc>
      </w:tr>
      <w:tr w:rsidR="00A14CB8" w:rsidRPr="00E31548" w14:paraId="2B968D90" w14:textId="77777777" w:rsidTr="00A14CB8">
        <w:tc>
          <w:tcPr>
            <w:tcW w:w="1759" w:type="dxa"/>
            <w:tcMar>
              <w:left w:w="43" w:type="dxa"/>
              <w:right w:w="43" w:type="dxa"/>
            </w:tcMar>
          </w:tcPr>
          <w:p w14:paraId="23A889FC" w14:textId="2AF7B7AC" w:rsidR="00A14CB8" w:rsidRDefault="00A14CB8" w:rsidP="00A14CB8">
            <w:pPr>
              <w:pStyle w:val="NoSpacing"/>
              <w:spacing w:after="200"/>
              <w:rPr>
                <w:rFonts w:cs="Times New Roman"/>
                <w:sz w:val="20"/>
                <w:szCs w:val="20"/>
              </w:rPr>
            </w:pPr>
            <w:r>
              <w:rPr>
                <w:rFonts w:cs="Times New Roman"/>
                <w:sz w:val="20"/>
                <w:szCs w:val="20"/>
              </w:rPr>
              <w:t>Committee Meeting</w:t>
            </w:r>
          </w:p>
        </w:tc>
        <w:tc>
          <w:tcPr>
            <w:tcW w:w="7896" w:type="dxa"/>
          </w:tcPr>
          <w:p w14:paraId="13C24DDC" w14:textId="7C4E17F3" w:rsidR="00A14CB8" w:rsidRDefault="00A14CB8" w:rsidP="00A14CB8">
            <w:pPr>
              <w:pStyle w:val="NoSpacing"/>
              <w:spacing w:after="200"/>
              <w:rPr>
                <w:rFonts w:cs="Times New Roman"/>
                <w:sz w:val="20"/>
                <w:szCs w:val="20"/>
              </w:rPr>
            </w:pPr>
            <w:r>
              <w:rPr>
                <w:rFonts w:cs="Times New Roman"/>
                <w:sz w:val="20"/>
                <w:szCs w:val="20"/>
              </w:rPr>
              <w:t>First year graduate students meet with the graduate examination committee. The meeting is recommended before the Friday of the 10</w:t>
            </w:r>
            <w:r>
              <w:rPr>
                <w:rFonts w:cs="Times New Roman"/>
                <w:sz w:val="20"/>
                <w:szCs w:val="20"/>
                <w:vertAlign w:val="superscript"/>
              </w:rPr>
              <w:t>th</w:t>
            </w:r>
            <w:r>
              <w:rPr>
                <w:rFonts w:cs="Times New Roman"/>
                <w:sz w:val="20"/>
                <w:szCs w:val="20"/>
              </w:rPr>
              <w:t xml:space="preserve"> week of the spring semester. </w:t>
            </w:r>
          </w:p>
        </w:tc>
        <w:tc>
          <w:tcPr>
            <w:tcW w:w="4735" w:type="dxa"/>
          </w:tcPr>
          <w:p w14:paraId="2031A513" w14:textId="3DF0CC01" w:rsidR="00A14CB8" w:rsidRPr="00E31548" w:rsidRDefault="00A14CB8" w:rsidP="00A14CB8">
            <w:pPr>
              <w:pStyle w:val="NoSpacing"/>
              <w:spacing w:after="200"/>
              <w:rPr>
                <w:rFonts w:cs="Times New Roman"/>
                <w:sz w:val="20"/>
                <w:szCs w:val="20"/>
              </w:rPr>
            </w:pPr>
            <w:r>
              <w:rPr>
                <w:rFonts w:cs="Times New Roman"/>
                <w:noProof/>
                <w:sz w:val="20"/>
                <w:szCs w:val="20"/>
              </w:rPr>
              <w:t xml:space="preserve">The meeting is </w:t>
            </w:r>
            <w:r w:rsidRPr="00F0151B">
              <w:rPr>
                <w:rFonts w:cs="Times New Roman"/>
                <w:noProof/>
                <w:color w:val="FF0000"/>
                <w:sz w:val="20"/>
                <w:szCs w:val="20"/>
              </w:rPr>
              <w:t xml:space="preserve">due </w:t>
            </w:r>
            <w:r w:rsidR="00F0151B" w:rsidRPr="00F0151B">
              <w:rPr>
                <w:rFonts w:cs="Times New Roman"/>
                <w:noProof/>
                <w:color w:val="FF0000"/>
                <w:sz w:val="20"/>
                <w:szCs w:val="20"/>
              </w:rPr>
              <w:t xml:space="preserve">March 31, </w:t>
            </w:r>
            <w:r w:rsidR="00231585" w:rsidRPr="00F0151B">
              <w:rPr>
                <w:rFonts w:cs="Times New Roman"/>
                <w:noProof/>
                <w:color w:val="FF0000"/>
                <w:sz w:val="20"/>
                <w:szCs w:val="20"/>
              </w:rPr>
              <w:t>20</w:t>
            </w:r>
            <w:r w:rsidR="000E336A" w:rsidRPr="00F0151B">
              <w:rPr>
                <w:rFonts w:cs="Times New Roman"/>
                <w:noProof/>
                <w:color w:val="FF0000"/>
                <w:sz w:val="20"/>
                <w:szCs w:val="20"/>
              </w:rPr>
              <w:t>20</w:t>
            </w:r>
            <w:r>
              <w:rPr>
                <w:rFonts w:cs="Times New Roman"/>
                <w:noProof/>
                <w:sz w:val="20"/>
                <w:szCs w:val="20"/>
              </w:rPr>
              <w:t>.  You will be contacted by the department for scheduling of the meeting.</w:t>
            </w:r>
          </w:p>
        </w:tc>
      </w:tr>
      <w:tr w:rsidR="001432AA" w:rsidRPr="00E31548" w14:paraId="49AC24D4" w14:textId="77777777" w:rsidTr="00A14CB8">
        <w:tc>
          <w:tcPr>
            <w:tcW w:w="1759" w:type="dxa"/>
            <w:tcMar>
              <w:left w:w="43" w:type="dxa"/>
              <w:right w:w="43" w:type="dxa"/>
            </w:tcMar>
          </w:tcPr>
          <w:p w14:paraId="488FE7FB" w14:textId="77777777" w:rsidR="001432AA" w:rsidRPr="00E31548" w:rsidRDefault="001432AA" w:rsidP="00C40B48">
            <w:pPr>
              <w:pStyle w:val="NoSpacing"/>
              <w:spacing w:after="200"/>
              <w:rPr>
                <w:rFonts w:cs="Times New Roman"/>
                <w:sz w:val="20"/>
                <w:szCs w:val="20"/>
              </w:rPr>
            </w:pPr>
            <w:r>
              <w:rPr>
                <w:rFonts w:cs="Times New Roman"/>
                <w:sz w:val="20"/>
                <w:szCs w:val="20"/>
              </w:rPr>
              <w:t>Year 2 and beyond committee meeting</w:t>
            </w:r>
          </w:p>
        </w:tc>
        <w:tc>
          <w:tcPr>
            <w:tcW w:w="7896" w:type="dxa"/>
          </w:tcPr>
          <w:p w14:paraId="53C354D6" w14:textId="77777777" w:rsidR="001432AA" w:rsidRPr="00E31548" w:rsidRDefault="001432AA" w:rsidP="00C40B48">
            <w:pPr>
              <w:pStyle w:val="NoSpacing"/>
              <w:spacing w:after="200"/>
              <w:rPr>
                <w:rFonts w:cs="Times New Roman"/>
                <w:sz w:val="20"/>
                <w:szCs w:val="20"/>
              </w:rPr>
            </w:pPr>
            <w:r>
              <w:rPr>
                <w:rFonts w:cs="Times New Roman"/>
                <w:sz w:val="20"/>
                <w:szCs w:val="20"/>
              </w:rPr>
              <w:t>In years 2 and beyond, in any year without an examination (e.g. a comprehensive or thesis examination), all graduate students are to meet with their dissertation committees. The meeting is recommended before the Friday of the 10</w:t>
            </w:r>
            <w:r>
              <w:rPr>
                <w:rFonts w:cs="Times New Roman"/>
                <w:sz w:val="20"/>
                <w:szCs w:val="20"/>
                <w:vertAlign w:val="superscript"/>
              </w:rPr>
              <w:t>th</w:t>
            </w:r>
            <w:r>
              <w:rPr>
                <w:rFonts w:cs="Times New Roman"/>
                <w:sz w:val="20"/>
                <w:szCs w:val="20"/>
              </w:rPr>
              <w:t xml:space="preserve"> week of the spring semester. Attendance of external committee members is at the discretion of the thesis advisor.</w:t>
            </w:r>
          </w:p>
        </w:tc>
        <w:tc>
          <w:tcPr>
            <w:tcW w:w="4735" w:type="dxa"/>
          </w:tcPr>
          <w:p w14:paraId="079A689E" w14:textId="77777777" w:rsidR="001432AA" w:rsidRPr="00E31548" w:rsidRDefault="001432AA" w:rsidP="00C40B48">
            <w:pPr>
              <w:pStyle w:val="NoSpacing"/>
              <w:spacing w:after="200"/>
              <w:rPr>
                <w:rFonts w:cs="Times New Roman"/>
                <w:sz w:val="20"/>
                <w:szCs w:val="20"/>
              </w:rPr>
            </w:pPr>
          </w:p>
        </w:tc>
      </w:tr>
      <w:tr w:rsidR="001432AA" w:rsidRPr="00E31548" w14:paraId="30693F85" w14:textId="77777777" w:rsidTr="00A14CB8">
        <w:tc>
          <w:tcPr>
            <w:tcW w:w="1759" w:type="dxa"/>
            <w:tcMar>
              <w:left w:w="43" w:type="dxa"/>
              <w:right w:w="43" w:type="dxa"/>
            </w:tcMar>
          </w:tcPr>
          <w:p w14:paraId="6C0DB207"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Faculty Mentoring program</w:t>
            </w:r>
          </w:p>
        </w:tc>
        <w:tc>
          <w:tcPr>
            <w:tcW w:w="7896" w:type="dxa"/>
          </w:tcPr>
          <w:p w14:paraId="6473AEA7"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 xml:space="preserve">Students are highly encouraged to meet at least three times per year with their formal mentor. </w:t>
            </w:r>
          </w:p>
        </w:tc>
        <w:tc>
          <w:tcPr>
            <w:tcW w:w="4735" w:type="dxa"/>
          </w:tcPr>
          <w:p w14:paraId="45001D1A" w14:textId="6CA171B8" w:rsidR="001432AA" w:rsidRPr="00E31548" w:rsidRDefault="001432AA" w:rsidP="00231585">
            <w:pPr>
              <w:pStyle w:val="NoSpacing"/>
              <w:spacing w:after="200"/>
              <w:rPr>
                <w:rFonts w:cs="Times New Roman"/>
                <w:sz w:val="20"/>
                <w:szCs w:val="20"/>
              </w:rPr>
            </w:pPr>
            <w:r w:rsidRPr="00E31548">
              <w:rPr>
                <w:rFonts w:cs="Times New Roman"/>
                <w:sz w:val="20"/>
                <w:szCs w:val="20"/>
              </w:rPr>
              <w:t xml:space="preserve">Your faculty mentor is </w:t>
            </w:r>
          </w:p>
        </w:tc>
      </w:tr>
      <w:tr w:rsidR="001432AA" w:rsidRPr="00E31548" w14:paraId="007B4321" w14:textId="77777777" w:rsidTr="00A14CB8">
        <w:tc>
          <w:tcPr>
            <w:tcW w:w="1759" w:type="dxa"/>
            <w:tcMar>
              <w:left w:w="43" w:type="dxa"/>
              <w:right w:w="43" w:type="dxa"/>
            </w:tcMar>
          </w:tcPr>
          <w:p w14:paraId="50B69952" w14:textId="77777777" w:rsidR="001432AA" w:rsidRPr="00E31548" w:rsidRDefault="001432AA" w:rsidP="00C40B48">
            <w:pPr>
              <w:pStyle w:val="NoSpacing"/>
              <w:spacing w:after="200"/>
              <w:rPr>
                <w:sz w:val="20"/>
                <w:szCs w:val="20"/>
              </w:rPr>
            </w:pPr>
            <w:r w:rsidRPr="00E31548">
              <w:rPr>
                <w:sz w:val="20"/>
                <w:szCs w:val="20"/>
              </w:rPr>
              <w:t>Student Peer-to-peer mentoring program</w:t>
            </w:r>
          </w:p>
        </w:tc>
        <w:tc>
          <w:tcPr>
            <w:tcW w:w="7896" w:type="dxa"/>
          </w:tcPr>
          <w:p w14:paraId="0824CDFD" w14:textId="77777777" w:rsidR="001432AA" w:rsidRPr="00E31548" w:rsidRDefault="001432AA" w:rsidP="00C40B48">
            <w:pPr>
              <w:pStyle w:val="NoSpacing"/>
              <w:spacing w:after="200"/>
              <w:rPr>
                <w:sz w:val="20"/>
                <w:szCs w:val="20"/>
              </w:rPr>
            </w:pPr>
            <w:r w:rsidRPr="00E31548">
              <w:rPr>
                <w:sz w:val="20"/>
                <w:szCs w:val="20"/>
              </w:rPr>
              <w:t xml:space="preserve">In 2012, we are establishing a graduate student peer mentoring program. The key elements of the mentoring program would are: (a) each incoming graduate student would have a more senior graduate student (2nd, 3rd, or 4th year) that would contact the incoming student from time to time during the summer, and though out the first year of classes; (b) this would be an entirely volunteer program; (c) the goal is to improve the first year experience for incoming graduate students and help them integrate into the CBE department quickly and successfully. </w:t>
            </w:r>
          </w:p>
        </w:tc>
        <w:tc>
          <w:tcPr>
            <w:tcW w:w="4735" w:type="dxa"/>
          </w:tcPr>
          <w:p w14:paraId="06FF054E" w14:textId="0894933D" w:rsidR="001432AA" w:rsidRPr="00E31548" w:rsidRDefault="001432AA" w:rsidP="00231585">
            <w:pPr>
              <w:pStyle w:val="NoSpacing"/>
              <w:spacing w:after="200"/>
              <w:rPr>
                <w:sz w:val="20"/>
                <w:szCs w:val="20"/>
              </w:rPr>
            </w:pPr>
            <w:r w:rsidRPr="00E31548">
              <w:rPr>
                <w:sz w:val="20"/>
                <w:szCs w:val="20"/>
              </w:rPr>
              <w:t xml:space="preserve">Your peer-to-peer mentor is </w:t>
            </w:r>
          </w:p>
        </w:tc>
      </w:tr>
      <w:tr w:rsidR="001432AA" w:rsidRPr="00E31548" w14:paraId="0CE4082E" w14:textId="77777777" w:rsidTr="00A14CB8">
        <w:tc>
          <w:tcPr>
            <w:tcW w:w="1759" w:type="dxa"/>
            <w:tcMar>
              <w:left w:w="43" w:type="dxa"/>
              <w:right w:w="43" w:type="dxa"/>
            </w:tcMar>
          </w:tcPr>
          <w:p w14:paraId="13CAE889" w14:textId="77777777" w:rsidR="001432AA" w:rsidRPr="00E31548" w:rsidRDefault="001432AA" w:rsidP="00C40B48">
            <w:pPr>
              <w:pStyle w:val="NoSpacing"/>
              <w:spacing w:after="200"/>
              <w:rPr>
                <w:sz w:val="20"/>
                <w:szCs w:val="20"/>
              </w:rPr>
            </w:pPr>
            <w:r w:rsidRPr="00E31548">
              <w:rPr>
                <w:sz w:val="20"/>
                <w:szCs w:val="20"/>
              </w:rPr>
              <w:t>Ethics requirement</w:t>
            </w:r>
          </w:p>
        </w:tc>
        <w:tc>
          <w:tcPr>
            <w:tcW w:w="7896" w:type="dxa"/>
          </w:tcPr>
          <w:p w14:paraId="6A47954D" w14:textId="77777777" w:rsidR="001432AA" w:rsidRPr="00E31548" w:rsidRDefault="001432AA" w:rsidP="00C40B48">
            <w:pPr>
              <w:pStyle w:val="NoSpacing"/>
              <w:spacing w:after="200"/>
              <w:rPr>
                <w:sz w:val="20"/>
                <w:szCs w:val="20"/>
              </w:rPr>
            </w:pPr>
            <w:r w:rsidRPr="00E31548">
              <w:rPr>
                <w:sz w:val="20"/>
                <w:szCs w:val="20"/>
              </w:rPr>
              <w:t>All PhD students and MS thesis students are required to enroll in and complete the College of Engineering course “Engineering Ethics” ENGR:7270 – a one semester seminar course – to be taken during their first semester.</w:t>
            </w:r>
          </w:p>
        </w:tc>
        <w:tc>
          <w:tcPr>
            <w:tcW w:w="4735" w:type="dxa"/>
            <w:shd w:val="clear" w:color="auto" w:fill="auto"/>
          </w:tcPr>
          <w:p w14:paraId="5737A5E4" w14:textId="46E13425" w:rsidR="001432AA" w:rsidRPr="00E31548" w:rsidRDefault="001432AA" w:rsidP="00C40B48">
            <w:pPr>
              <w:pStyle w:val="NoSpacing"/>
              <w:spacing w:after="200"/>
              <w:rPr>
                <w:sz w:val="20"/>
                <w:szCs w:val="20"/>
              </w:rPr>
            </w:pPr>
          </w:p>
        </w:tc>
      </w:tr>
      <w:tr w:rsidR="00FA2DF1" w14:paraId="78E5B7B0" w14:textId="77777777" w:rsidTr="00FA2DF1">
        <w:tc>
          <w:tcPr>
            <w:tcW w:w="1759" w:type="dxa"/>
            <w:tcMar>
              <w:left w:w="43" w:type="dxa"/>
              <w:right w:w="43" w:type="dxa"/>
            </w:tcMar>
          </w:tcPr>
          <w:p w14:paraId="124182A2" w14:textId="77777777" w:rsidR="00FA2DF1" w:rsidRPr="00E31548" w:rsidRDefault="00FA2DF1" w:rsidP="006F5B3E">
            <w:pPr>
              <w:pStyle w:val="NoSpacing"/>
              <w:spacing w:after="200"/>
              <w:rPr>
                <w:sz w:val="20"/>
                <w:szCs w:val="20"/>
              </w:rPr>
            </w:pPr>
            <w:r>
              <w:rPr>
                <w:sz w:val="20"/>
                <w:szCs w:val="20"/>
              </w:rPr>
              <w:t>Service expectation</w:t>
            </w:r>
          </w:p>
        </w:tc>
        <w:tc>
          <w:tcPr>
            <w:tcW w:w="7896" w:type="dxa"/>
          </w:tcPr>
          <w:p w14:paraId="763D3CB7" w14:textId="77777777" w:rsidR="00FA2DF1" w:rsidRPr="00E31548" w:rsidRDefault="00FA2DF1" w:rsidP="006F5B3E">
            <w:pPr>
              <w:pStyle w:val="NoSpacing"/>
              <w:spacing w:after="200"/>
              <w:rPr>
                <w:sz w:val="20"/>
                <w:szCs w:val="20"/>
              </w:rPr>
            </w:pPr>
            <w:r w:rsidRPr="00C85A6B">
              <w:rPr>
                <w:sz w:val="20"/>
                <w:szCs w:val="20"/>
              </w:rPr>
              <w:t>All graduate students are expected to identify (in their individual development plans) and carry out ten hours or more of service per semester.</w:t>
            </w:r>
          </w:p>
        </w:tc>
        <w:tc>
          <w:tcPr>
            <w:tcW w:w="4735" w:type="dxa"/>
          </w:tcPr>
          <w:p w14:paraId="48FEFABB" w14:textId="671F0BAE" w:rsidR="00FA2DF1" w:rsidRDefault="00FA2DF1" w:rsidP="006F5B3E">
            <w:pPr>
              <w:pStyle w:val="NoSpacing"/>
              <w:spacing w:after="200"/>
              <w:rPr>
                <w:sz w:val="20"/>
                <w:szCs w:val="20"/>
              </w:rPr>
            </w:pPr>
          </w:p>
        </w:tc>
      </w:tr>
      <w:tr w:rsidR="001432AA" w:rsidRPr="00E31548" w14:paraId="56577872" w14:textId="77777777" w:rsidTr="00A14CB8">
        <w:tc>
          <w:tcPr>
            <w:tcW w:w="1759" w:type="dxa"/>
            <w:tcMar>
              <w:left w:w="43" w:type="dxa"/>
              <w:right w:w="43" w:type="dxa"/>
            </w:tcMar>
          </w:tcPr>
          <w:p w14:paraId="231A72DA" w14:textId="77777777" w:rsidR="001432AA" w:rsidRPr="00E31548" w:rsidRDefault="001432AA" w:rsidP="00C40B48">
            <w:pPr>
              <w:pStyle w:val="NoSpacing"/>
              <w:spacing w:after="200"/>
              <w:rPr>
                <w:rFonts w:cs="Times New Roman"/>
                <w:sz w:val="20"/>
                <w:szCs w:val="20"/>
              </w:rPr>
            </w:pPr>
            <w:r w:rsidRPr="00E31548">
              <w:rPr>
                <w:sz w:val="20"/>
                <w:szCs w:val="20"/>
              </w:rPr>
              <w:br w:type="page"/>
            </w:r>
            <w:r w:rsidRPr="00E31548">
              <w:rPr>
                <w:rFonts w:cs="Times New Roman"/>
                <w:sz w:val="20"/>
                <w:szCs w:val="20"/>
              </w:rPr>
              <w:t>Comprehensive Exam</w:t>
            </w:r>
          </w:p>
        </w:tc>
        <w:tc>
          <w:tcPr>
            <w:tcW w:w="7896" w:type="dxa"/>
          </w:tcPr>
          <w:p w14:paraId="48B4DA21"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The general rules for the administration of the PhD comprehensive examination are contained in the policies and procedures of the Graduate College. The comprehensive examination consists of a written dissertation research proposal and an evaluation of research progress by the dissertation committee. The proposal must be presented orally and is open to the public. The proposal should contain the plan of study and some preliminary results. A guideline for the proposal format is given in the Appendix of this document. The proposal must be completed no later than two years after entering the department. Non-chemical engineering students will receive one extra year to fulfill this requirement. The student who does not meet these deadlines will be warned that they are failing to make appropriate progress in the program, which may lead to reduced financial aid or dismissal from the program.</w:t>
            </w:r>
          </w:p>
        </w:tc>
        <w:tc>
          <w:tcPr>
            <w:tcW w:w="4735" w:type="dxa"/>
          </w:tcPr>
          <w:p w14:paraId="5D210206" w14:textId="77777777" w:rsidR="001432AA" w:rsidRPr="00E31548" w:rsidRDefault="001432AA" w:rsidP="00C40B48">
            <w:pPr>
              <w:pStyle w:val="NoSpacing"/>
              <w:spacing w:after="200"/>
              <w:rPr>
                <w:rFonts w:cs="Times New Roman"/>
                <w:sz w:val="20"/>
                <w:szCs w:val="20"/>
              </w:rPr>
            </w:pPr>
          </w:p>
        </w:tc>
      </w:tr>
      <w:tr w:rsidR="001432AA" w:rsidRPr="00E31548" w14:paraId="7FC54507" w14:textId="77777777" w:rsidTr="00A14CB8">
        <w:tc>
          <w:tcPr>
            <w:tcW w:w="1759" w:type="dxa"/>
            <w:tcMar>
              <w:left w:w="43" w:type="dxa"/>
              <w:right w:w="43" w:type="dxa"/>
            </w:tcMar>
          </w:tcPr>
          <w:p w14:paraId="74B48634"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Breadth Requirement</w:t>
            </w:r>
          </w:p>
        </w:tc>
        <w:tc>
          <w:tcPr>
            <w:tcW w:w="7896" w:type="dxa"/>
          </w:tcPr>
          <w:p w14:paraId="4C8D5C18" w14:textId="77777777" w:rsidR="001432AA" w:rsidRPr="00E31548" w:rsidRDefault="001432AA" w:rsidP="00C40B48">
            <w:pPr>
              <w:spacing w:after="200"/>
              <w:rPr>
                <w:rFonts w:cs="Times New Roman"/>
                <w:sz w:val="20"/>
                <w:szCs w:val="20"/>
              </w:rPr>
            </w:pPr>
            <w:r w:rsidRPr="00E31548">
              <w:rPr>
                <w:rFonts w:cs="Times New Roman"/>
                <w:sz w:val="20"/>
                <w:szCs w:val="20"/>
              </w:rPr>
              <w:t xml:space="preserve">All graduate students must also complete at least one course (3 </w:t>
            </w:r>
            <w:proofErr w:type="spellStart"/>
            <w:r w:rsidRPr="00E31548">
              <w:rPr>
                <w:rFonts w:cs="Times New Roman"/>
                <w:sz w:val="20"/>
                <w:szCs w:val="20"/>
              </w:rPr>
              <w:t>sh</w:t>
            </w:r>
            <w:proofErr w:type="spellEnd"/>
            <w:r w:rsidRPr="00E31548">
              <w:rPr>
                <w:rFonts w:cs="Times New Roman"/>
                <w:sz w:val="20"/>
                <w:szCs w:val="20"/>
              </w:rPr>
              <w:t xml:space="preserve">, selected in consultation with the research advisor) in an area outside their own specialization area from the </w:t>
            </w:r>
            <w:r w:rsidRPr="00E31548">
              <w:rPr>
                <w:rFonts w:cs="Times New Roman"/>
                <w:sz w:val="20"/>
                <w:szCs w:val="20"/>
              </w:rPr>
              <w:lastRenderedPageBreak/>
              <w:t>department’s specialization areas – Polymeric Systems, Environmental Systems, and Biological Systems.</w:t>
            </w:r>
          </w:p>
        </w:tc>
        <w:tc>
          <w:tcPr>
            <w:tcW w:w="4735" w:type="dxa"/>
          </w:tcPr>
          <w:p w14:paraId="6612F170" w14:textId="4AC710EC" w:rsidR="001432AA" w:rsidRPr="00E31548" w:rsidRDefault="00A14CB8" w:rsidP="00C40B48">
            <w:pPr>
              <w:pStyle w:val="NoSpacing"/>
              <w:spacing w:after="200"/>
              <w:rPr>
                <w:rFonts w:cs="Times New Roman"/>
                <w:sz w:val="20"/>
                <w:szCs w:val="20"/>
              </w:rPr>
            </w:pPr>
            <w:r>
              <w:rPr>
                <w:rFonts w:cs="Times New Roman"/>
                <w:sz w:val="20"/>
                <w:szCs w:val="20"/>
              </w:rPr>
              <w:lastRenderedPageBreak/>
              <w:t>Discuss with advisor</w:t>
            </w:r>
          </w:p>
        </w:tc>
      </w:tr>
      <w:tr w:rsidR="001432AA" w:rsidRPr="00E31548" w14:paraId="7F6749B4" w14:textId="77777777" w:rsidTr="00A14CB8">
        <w:tc>
          <w:tcPr>
            <w:tcW w:w="1759" w:type="dxa"/>
            <w:tcMar>
              <w:left w:w="43" w:type="dxa"/>
              <w:right w:w="43" w:type="dxa"/>
            </w:tcMar>
          </w:tcPr>
          <w:p w14:paraId="4DF61A99"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Teaching Assistantships</w:t>
            </w:r>
          </w:p>
        </w:tc>
        <w:tc>
          <w:tcPr>
            <w:tcW w:w="7896" w:type="dxa"/>
          </w:tcPr>
          <w:p w14:paraId="75673F90"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All graduate students are required to be teaching assistants at least twice during their residency (except for non-thesis MS candidates) so that they can learn the skills needed to train and educate others, an important distinction between the undergraduate and graduate degrees. Good to excellent performance as a TA (based on the evaluation of the instructor) is required for continued good standing in the Department.</w:t>
            </w:r>
          </w:p>
        </w:tc>
        <w:tc>
          <w:tcPr>
            <w:tcW w:w="4735" w:type="dxa"/>
            <w:shd w:val="clear" w:color="auto" w:fill="auto"/>
          </w:tcPr>
          <w:p w14:paraId="14FE6B4E" w14:textId="77777777" w:rsidR="001432AA" w:rsidRPr="00E31548" w:rsidRDefault="001432AA" w:rsidP="00C40B48">
            <w:pPr>
              <w:pStyle w:val="NoSpacing"/>
              <w:spacing w:after="200"/>
              <w:rPr>
                <w:rFonts w:cs="Times New Roman"/>
                <w:sz w:val="20"/>
                <w:szCs w:val="20"/>
              </w:rPr>
            </w:pPr>
          </w:p>
        </w:tc>
      </w:tr>
      <w:tr w:rsidR="001432AA" w:rsidRPr="00E31548" w14:paraId="2FDDC43E" w14:textId="77777777" w:rsidTr="00A14CB8">
        <w:tc>
          <w:tcPr>
            <w:tcW w:w="1759" w:type="dxa"/>
            <w:tcMar>
              <w:left w:w="43" w:type="dxa"/>
              <w:right w:w="43" w:type="dxa"/>
            </w:tcMar>
          </w:tcPr>
          <w:p w14:paraId="38836B56"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TA Certification</w:t>
            </w:r>
          </w:p>
        </w:tc>
        <w:tc>
          <w:tcPr>
            <w:tcW w:w="7896" w:type="dxa"/>
          </w:tcPr>
          <w:p w14:paraId="24B9A047"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Teaching assistants whose native language is not English may be required to take the TA certification test. Depending on the test outcome, the student may have recommended ESL classes and may need to retake the certification test.</w:t>
            </w:r>
          </w:p>
        </w:tc>
        <w:tc>
          <w:tcPr>
            <w:tcW w:w="4735" w:type="dxa"/>
          </w:tcPr>
          <w:p w14:paraId="00469C10" w14:textId="77777777" w:rsidR="001432AA" w:rsidRPr="00E31548" w:rsidRDefault="001432AA" w:rsidP="00C40B48">
            <w:pPr>
              <w:pStyle w:val="NoSpacing"/>
              <w:spacing w:after="200"/>
              <w:rPr>
                <w:rFonts w:cs="Times New Roman"/>
                <w:sz w:val="20"/>
                <w:szCs w:val="20"/>
              </w:rPr>
            </w:pPr>
          </w:p>
        </w:tc>
      </w:tr>
      <w:tr w:rsidR="001432AA" w:rsidRPr="00E31548" w14:paraId="0506C9F5" w14:textId="77777777" w:rsidTr="00A14CB8">
        <w:tc>
          <w:tcPr>
            <w:tcW w:w="1759" w:type="dxa"/>
            <w:tcMar>
              <w:left w:w="43" w:type="dxa"/>
              <w:right w:w="43" w:type="dxa"/>
            </w:tcMar>
          </w:tcPr>
          <w:p w14:paraId="69BE3B5D"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English Proficiency Exam</w:t>
            </w:r>
          </w:p>
        </w:tc>
        <w:tc>
          <w:tcPr>
            <w:tcW w:w="7896" w:type="dxa"/>
          </w:tcPr>
          <w:p w14:paraId="41F859E4"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All students whose native language is not English may be required to take the English Proficiency Exam. Courses recommended as a result of the EPE exam become graduation requirements, and failure to register for the required courses may prevent registration for additional courses.</w:t>
            </w:r>
          </w:p>
        </w:tc>
        <w:tc>
          <w:tcPr>
            <w:tcW w:w="4735" w:type="dxa"/>
          </w:tcPr>
          <w:p w14:paraId="6F9D6A60" w14:textId="489A56FE" w:rsidR="001432AA" w:rsidRPr="00E31548" w:rsidRDefault="001432AA" w:rsidP="00231585">
            <w:pPr>
              <w:pStyle w:val="NoSpacing"/>
              <w:spacing w:after="200"/>
              <w:rPr>
                <w:rFonts w:cs="Times New Roman"/>
                <w:sz w:val="20"/>
                <w:szCs w:val="20"/>
              </w:rPr>
            </w:pPr>
            <w:r>
              <w:rPr>
                <w:sz w:val="18"/>
              </w:rPr>
              <w:t xml:space="preserve"> </w:t>
            </w:r>
          </w:p>
        </w:tc>
      </w:tr>
      <w:tr w:rsidR="001432AA" w:rsidRPr="00E31548" w14:paraId="5050871D" w14:textId="77777777" w:rsidTr="00A14CB8">
        <w:tc>
          <w:tcPr>
            <w:tcW w:w="1759" w:type="dxa"/>
            <w:tcMar>
              <w:left w:w="43" w:type="dxa"/>
              <w:right w:w="43" w:type="dxa"/>
            </w:tcMar>
          </w:tcPr>
          <w:p w14:paraId="707E70D3"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Non-terminal masters</w:t>
            </w:r>
          </w:p>
        </w:tc>
        <w:tc>
          <w:tcPr>
            <w:tcW w:w="7896" w:type="dxa"/>
          </w:tcPr>
          <w:p w14:paraId="3DBB5107"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 xml:space="preserve">The department requires PhD students without previous </w:t>
            </w:r>
            <w:proofErr w:type="spellStart"/>
            <w:r w:rsidRPr="00E31548">
              <w:rPr>
                <w:rFonts w:cs="Times New Roman"/>
                <w:sz w:val="20"/>
                <w:szCs w:val="20"/>
              </w:rPr>
              <w:t>masters</w:t>
            </w:r>
            <w:proofErr w:type="spellEnd"/>
            <w:r w:rsidRPr="00E31548">
              <w:rPr>
                <w:rFonts w:cs="Times New Roman"/>
                <w:sz w:val="20"/>
                <w:szCs w:val="20"/>
              </w:rPr>
              <w:t xml:space="preserve"> degrees in Chemical Engineering to complete a non-thesis </w:t>
            </w:r>
            <w:proofErr w:type="spellStart"/>
            <w:r w:rsidRPr="00E31548">
              <w:rPr>
                <w:rFonts w:cs="Times New Roman"/>
                <w:sz w:val="20"/>
                <w:szCs w:val="20"/>
              </w:rPr>
              <w:t>masters</w:t>
            </w:r>
            <w:proofErr w:type="spellEnd"/>
            <w:r w:rsidRPr="00E31548">
              <w:rPr>
                <w:rFonts w:cs="Times New Roman"/>
                <w:sz w:val="20"/>
                <w:szCs w:val="20"/>
              </w:rPr>
              <w:t xml:space="preserve"> degree </w:t>
            </w:r>
            <w:proofErr w:type="spellStart"/>
            <w:r w:rsidRPr="00E31548">
              <w:rPr>
                <w:rFonts w:cs="Times New Roman"/>
                <w:sz w:val="20"/>
                <w:szCs w:val="20"/>
              </w:rPr>
              <w:t>en</w:t>
            </w:r>
            <w:proofErr w:type="spellEnd"/>
            <w:r w:rsidRPr="00E31548">
              <w:rPr>
                <w:rFonts w:cs="Times New Roman"/>
                <w:sz w:val="20"/>
                <w:szCs w:val="20"/>
              </w:rPr>
              <w:t xml:space="preserve"> route to the PhD degree. The requirements for this are:</w:t>
            </w:r>
          </w:p>
          <w:p w14:paraId="5620557B" w14:textId="77777777" w:rsidR="001432AA" w:rsidRPr="00E31548" w:rsidRDefault="001432AA" w:rsidP="00C40B48">
            <w:pPr>
              <w:pStyle w:val="NoSpacing"/>
              <w:numPr>
                <w:ilvl w:val="0"/>
                <w:numId w:val="1"/>
              </w:numPr>
              <w:rPr>
                <w:rFonts w:cs="Times New Roman"/>
                <w:sz w:val="20"/>
                <w:szCs w:val="20"/>
              </w:rPr>
            </w:pPr>
            <w:r w:rsidRPr="00E31548">
              <w:rPr>
                <w:rFonts w:cs="Times New Roman"/>
                <w:sz w:val="20"/>
                <w:szCs w:val="20"/>
              </w:rPr>
              <w:t xml:space="preserve">Completion of 30 </w:t>
            </w:r>
            <w:proofErr w:type="spellStart"/>
            <w:r w:rsidRPr="00E31548">
              <w:rPr>
                <w:rFonts w:cs="Times New Roman"/>
                <w:sz w:val="20"/>
                <w:szCs w:val="20"/>
              </w:rPr>
              <w:t>s.h.</w:t>
            </w:r>
            <w:proofErr w:type="spellEnd"/>
            <w:r w:rsidRPr="00E31548">
              <w:rPr>
                <w:rFonts w:cs="Times New Roman"/>
                <w:sz w:val="20"/>
                <w:szCs w:val="20"/>
              </w:rPr>
              <w:t xml:space="preserve"> of approved graduate coursework with a 3.25 GPA or higher</w:t>
            </w:r>
          </w:p>
          <w:p w14:paraId="317C24A7" w14:textId="77777777" w:rsidR="001432AA" w:rsidRPr="00E31548" w:rsidRDefault="001432AA" w:rsidP="00C40B48">
            <w:pPr>
              <w:pStyle w:val="NoSpacing"/>
              <w:numPr>
                <w:ilvl w:val="0"/>
                <w:numId w:val="1"/>
              </w:numPr>
              <w:rPr>
                <w:rFonts w:cs="Times New Roman"/>
                <w:sz w:val="20"/>
                <w:szCs w:val="20"/>
              </w:rPr>
            </w:pPr>
            <w:r w:rsidRPr="00E31548">
              <w:rPr>
                <w:rFonts w:cs="Times New Roman"/>
                <w:sz w:val="20"/>
                <w:szCs w:val="20"/>
              </w:rPr>
              <w:t>Approval by your advisor of a manuscript intended for peer-reviewed publication</w:t>
            </w:r>
          </w:p>
          <w:p w14:paraId="0296F3C3" w14:textId="77777777" w:rsidR="001432AA" w:rsidRPr="00E31548" w:rsidRDefault="001432AA" w:rsidP="00C40B48">
            <w:pPr>
              <w:pStyle w:val="NoSpacing"/>
              <w:numPr>
                <w:ilvl w:val="0"/>
                <w:numId w:val="1"/>
              </w:numPr>
              <w:spacing w:after="200"/>
              <w:rPr>
                <w:rFonts w:cs="Times New Roman"/>
                <w:sz w:val="20"/>
                <w:szCs w:val="20"/>
              </w:rPr>
            </w:pPr>
            <w:r w:rsidRPr="00E31548">
              <w:rPr>
                <w:rFonts w:cs="Times New Roman"/>
                <w:sz w:val="20"/>
                <w:szCs w:val="20"/>
              </w:rPr>
              <w:t>Departmental seminar</w:t>
            </w:r>
          </w:p>
          <w:p w14:paraId="74123230"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Please note that the MS and the PhD cannot be granted in the same semester, and that applications for the degree are due early in the semester (e.g. February for spring semester and September for fall semester).</w:t>
            </w:r>
          </w:p>
        </w:tc>
        <w:tc>
          <w:tcPr>
            <w:tcW w:w="4735" w:type="dxa"/>
          </w:tcPr>
          <w:p w14:paraId="791C5E09" w14:textId="64082929" w:rsidR="001432AA" w:rsidRPr="00E31548" w:rsidRDefault="001432AA" w:rsidP="00C40B48">
            <w:pPr>
              <w:pStyle w:val="NoSpacing"/>
              <w:spacing w:after="200"/>
              <w:rPr>
                <w:rFonts w:cs="Times New Roman"/>
                <w:sz w:val="20"/>
                <w:szCs w:val="20"/>
              </w:rPr>
            </w:pPr>
          </w:p>
        </w:tc>
      </w:tr>
      <w:tr w:rsidR="001432AA" w:rsidRPr="00E31548" w14:paraId="40582F53" w14:textId="77777777" w:rsidTr="00A14CB8">
        <w:tc>
          <w:tcPr>
            <w:tcW w:w="1759" w:type="dxa"/>
            <w:tcMar>
              <w:left w:w="43" w:type="dxa"/>
              <w:right w:w="43" w:type="dxa"/>
            </w:tcMar>
          </w:tcPr>
          <w:p w14:paraId="3C5C4983"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Graduate college GPA requirement</w:t>
            </w:r>
          </w:p>
        </w:tc>
        <w:tc>
          <w:tcPr>
            <w:tcW w:w="7896" w:type="dxa"/>
          </w:tcPr>
          <w:p w14:paraId="3B7D0899"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A doctoral student on regular status shall be placed on probation if, after completing 8 hours of graduate work, the student's cumulative grade-point average on graduate work done at The University of Iowa falls below 3.00. If, after completing 8 more semester hours of graduate work at this University, the student's cumulative grade-point average remains below the required level, the student shall be dropped from the program and denied permission to reregister unless the student applies and is accepted for a nondoctoral degree or certificate program. If, after completing the second 8 semester hours, the cumulative grade-point average is at least 3.00, the student is returned to good standing.</w:t>
            </w:r>
          </w:p>
        </w:tc>
        <w:tc>
          <w:tcPr>
            <w:tcW w:w="4735" w:type="dxa"/>
          </w:tcPr>
          <w:p w14:paraId="46BF9F89" w14:textId="77777777" w:rsidR="001432AA" w:rsidRPr="00E31548" w:rsidRDefault="001432AA" w:rsidP="00C40B48">
            <w:pPr>
              <w:pStyle w:val="NoSpacing"/>
              <w:spacing w:after="200"/>
              <w:rPr>
                <w:rFonts w:cs="Times New Roman"/>
                <w:sz w:val="20"/>
                <w:szCs w:val="20"/>
              </w:rPr>
            </w:pPr>
          </w:p>
        </w:tc>
      </w:tr>
      <w:tr w:rsidR="001432AA" w:rsidRPr="00E31548" w14:paraId="545D43D3" w14:textId="77777777" w:rsidTr="00A14CB8">
        <w:tc>
          <w:tcPr>
            <w:tcW w:w="1759" w:type="dxa"/>
            <w:tcMar>
              <w:left w:w="43" w:type="dxa"/>
              <w:right w:w="43" w:type="dxa"/>
            </w:tcMar>
          </w:tcPr>
          <w:p w14:paraId="121C53DA"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Departmental GPA Requirement</w:t>
            </w:r>
          </w:p>
        </w:tc>
        <w:tc>
          <w:tcPr>
            <w:tcW w:w="7896" w:type="dxa"/>
          </w:tcPr>
          <w:p w14:paraId="63C99DB9"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 xml:space="preserve">Students must maintain a minimum composite GPA of 3.25. </w:t>
            </w:r>
          </w:p>
        </w:tc>
        <w:tc>
          <w:tcPr>
            <w:tcW w:w="4735" w:type="dxa"/>
          </w:tcPr>
          <w:p w14:paraId="48B49FA4" w14:textId="281FF066" w:rsidR="001432AA" w:rsidRPr="00E31548" w:rsidRDefault="001432AA" w:rsidP="00C40B48">
            <w:pPr>
              <w:pStyle w:val="NoSpacing"/>
              <w:spacing w:after="200"/>
              <w:rPr>
                <w:rFonts w:cs="Times New Roman"/>
                <w:sz w:val="20"/>
                <w:szCs w:val="20"/>
              </w:rPr>
            </w:pPr>
          </w:p>
        </w:tc>
      </w:tr>
      <w:tr w:rsidR="001432AA" w:rsidRPr="00E31548" w14:paraId="7E7DC79F" w14:textId="77777777" w:rsidTr="00A14CB8">
        <w:tc>
          <w:tcPr>
            <w:tcW w:w="1759" w:type="dxa"/>
            <w:tcMar>
              <w:left w:w="43" w:type="dxa"/>
              <w:right w:w="43" w:type="dxa"/>
            </w:tcMar>
          </w:tcPr>
          <w:p w14:paraId="18FFC90D"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Departmental Seminar Attendance</w:t>
            </w:r>
          </w:p>
        </w:tc>
        <w:tc>
          <w:tcPr>
            <w:tcW w:w="7896" w:type="dxa"/>
          </w:tcPr>
          <w:p w14:paraId="27D0B192" w14:textId="3C8602D7" w:rsidR="001432AA" w:rsidRPr="00E31548" w:rsidRDefault="001432AA" w:rsidP="00C40B48">
            <w:pPr>
              <w:pStyle w:val="NoSpacing"/>
              <w:spacing w:after="200"/>
              <w:rPr>
                <w:rFonts w:cs="Times New Roman"/>
                <w:sz w:val="20"/>
                <w:szCs w:val="20"/>
              </w:rPr>
            </w:pPr>
            <w:r w:rsidRPr="00E31548">
              <w:rPr>
                <w:rFonts w:cs="Times New Roman"/>
                <w:sz w:val="20"/>
                <w:szCs w:val="20"/>
              </w:rPr>
              <w:t xml:space="preserve">Registration and attendance of graduate seminar </w:t>
            </w:r>
            <w:r w:rsidR="000E336A">
              <w:rPr>
                <w:rFonts w:cs="Times New Roman"/>
                <w:sz w:val="20"/>
                <w:szCs w:val="20"/>
              </w:rPr>
              <w:t>CBE:5000</w:t>
            </w:r>
            <w:r w:rsidRPr="00E31548">
              <w:rPr>
                <w:rFonts w:cs="Times New Roman"/>
                <w:sz w:val="20"/>
                <w:szCs w:val="20"/>
              </w:rPr>
              <w:t xml:space="preserve"> is required for PhD and thesis masters students in residence.</w:t>
            </w:r>
          </w:p>
        </w:tc>
        <w:tc>
          <w:tcPr>
            <w:tcW w:w="4735" w:type="dxa"/>
          </w:tcPr>
          <w:p w14:paraId="0C38EA36" w14:textId="6C563F1C" w:rsidR="001432AA" w:rsidRPr="00E31548" w:rsidRDefault="001432AA" w:rsidP="00C40B48">
            <w:pPr>
              <w:pStyle w:val="NoSpacing"/>
              <w:spacing w:after="200"/>
              <w:rPr>
                <w:rFonts w:cs="Times New Roman"/>
                <w:sz w:val="20"/>
                <w:szCs w:val="20"/>
              </w:rPr>
            </w:pPr>
          </w:p>
        </w:tc>
      </w:tr>
      <w:tr w:rsidR="001432AA" w:rsidRPr="00E31548" w14:paraId="7BF6673E" w14:textId="77777777" w:rsidTr="00A14CB8">
        <w:tc>
          <w:tcPr>
            <w:tcW w:w="1759" w:type="dxa"/>
            <w:tcMar>
              <w:left w:w="43" w:type="dxa"/>
              <w:right w:w="43" w:type="dxa"/>
            </w:tcMar>
          </w:tcPr>
          <w:p w14:paraId="3A600CD5"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lastRenderedPageBreak/>
              <w:t>Giving a Departmental Seminar</w:t>
            </w:r>
          </w:p>
        </w:tc>
        <w:tc>
          <w:tcPr>
            <w:tcW w:w="7896" w:type="dxa"/>
          </w:tcPr>
          <w:p w14:paraId="11D91AC7"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Before or during the 4</w:t>
            </w:r>
            <w:r w:rsidRPr="00E31548">
              <w:rPr>
                <w:rFonts w:cs="Times New Roman"/>
                <w:sz w:val="20"/>
                <w:szCs w:val="20"/>
                <w:vertAlign w:val="superscript"/>
              </w:rPr>
              <w:t>th</w:t>
            </w:r>
            <w:r w:rsidRPr="00E31548">
              <w:rPr>
                <w:rFonts w:cs="Times New Roman"/>
                <w:sz w:val="20"/>
                <w:szCs w:val="20"/>
              </w:rPr>
              <w:t xml:space="preserve"> year of the program, each PhD and MS student should give a research presentation in the Graduate Seminar.</w:t>
            </w:r>
          </w:p>
        </w:tc>
        <w:tc>
          <w:tcPr>
            <w:tcW w:w="4735" w:type="dxa"/>
          </w:tcPr>
          <w:p w14:paraId="50E4FE23" w14:textId="77777777" w:rsidR="001432AA" w:rsidRPr="00E31548" w:rsidRDefault="001432AA" w:rsidP="00C40B48">
            <w:pPr>
              <w:pStyle w:val="NoSpacing"/>
              <w:spacing w:after="200"/>
              <w:rPr>
                <w:rFonts w:cs="Times New Roman"/>
                <w:sz w:val="20"/>
                <w:szCs w:val="20"/>
              </w:rPr>
            </w:pPr>
          </w:p>
        </w:tc>
      </w:tr>
      <w:tr w:rsidR="001432AA" w:rsidRPr="00E31548" w14:paraId="3AB10D37" w14:textId="77777777" w:rsidTr="00A14CB8">
        <w:tc>
          <w:tcPr>
            <w:tcW w:w="1759" w:type="dxa"/>
            <w:tcMar>
              <w:left w:w="43" w:type="dxa"/>
              <w:right w:w="43" w:type="dxa"/>
            </w:tcMar>
          </w:tcPr>
          <w:p w14:paraId="36E3B042"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Research Productivity</w:t>
            </w:r>
          </w:p>
        </w:tc>
        <w:tc>
          <w:tcPr>
            <w:tcW w:w="7896" w:type="dxa"/>
          </w:tcPr>
          <w:p w14:paraId="57ED9BD5" w14:textId="77777777" w:rsidR="001432AA" w:rsidRPr="00E24D58" w:rsidRDefault="001432AA" w:rsidP="00C40B48">
            <w:pPr>
              <w:spacing w:after="200"/>
              <w:rPr>
                <w:rFonts w:cs="Times New Roman"/>
                <w:sz w:val="20"/>
                <w:szCs w:val="20"/>
              </w:rPr>
            </w:pPr>
            <w:r w:rsidRPr="00E24D58">
              <w:rPr>
                <w:rFonts w:cs="Times New Roman"/>
                <w:sz w:val="20"/>
                <w:szCs w:val="20"/>
              </w:rPr>
              <w:t>Generally good to excellent performance in research productivity (based on the written evaluation of the faculty advisor and/or research director) is required for continued good standing in the Department.</w:t>
            </w:r>
          </w:p>
        </w:tc>
        <w:tc>
          <w:tcPr>
            <w:tcW w:w="4735" w:type="dxa"/>
          </w:tcPr>
          <w:p w14:paraId="51801BA3" w14:textId="77777777" w:rsidR="001432AA" w:rsidRPr="00E24D58" w:rsidRDefault="001432AA" w:rsidP="00C40B48">
            <w:pPr>
              <w:pStyle w:val="NoSpacing"/>
              <w:spacing w:after="200"/>
              <w:rPr>
                <w:rFonts w:cs="Times New Roman"/>
                <w:sz w:val="20"/>
                <w:szCs w:val="20"/>
              </w:rPr>
            </w:pPr>
          </w:p>
        </w:tc>
      </w:tr>
      <w:tr w:rsidR="001432AA" w:rsidRPr="00E31548" w14:paraId="5563AC96" w14:textId="77777777" w:rsidTr="00A14CB8">
        <w:tc>
          <w:tcPr>
            <w:tcW w:w="1759" w:type="dxa"/>
            <w:shd w:val="clear" w:color="auto" w:fill="auto"/>
            <w:tcMar>
              <w:left w:w="43" w:type="dxa"/>
              <w:right w:w="43" w:type="dxa"/>
            </w:tcMar>
          </w:tcPr>
          <w:p w14:paraId="3554B805" w14:textId="77777777" w:rsidR="001432AA" w:rsidRPr="00E31548" w:rsidRDefault="001432AA" w:rsidP="00C40B48">
            <w:pPr>
              <w:pStyle w:val="NoSpacing"/>
              <w:spacing w:after="200"/>
              <w:rPr>
                <w:rFonts w:cs="Times New Roman"/>
                <w:sz w:val="20"/>
                <w:szCs w:val="20"/>
              </w:rPr>
            </w:pPr>
            <w:r>
              <w:rPr>
                <w:rFonts w:cs="Times New Roman"/>
                <w:sz w:val="20"/>
                <w:szCs w:val="20"/>
              </w:rPr>
              <w:t>Peer-reviewed publications</w:t>
            </w:r>
          </w:p>
        </w:tc>
        <w:tc>
          <w:tcPr>
            <w:tcW w:w="7896" w:type="dxa"/>
            <w:shd w:val="clear" w:color="auto" w:fill="auto"/>
          </w:tcPr>
          <w:p w14:paraId="0E2464C5" w14:textId="77777777" w:rsidR="001432AA" w:rsidRPr="00E24D58" w:rsidRDefault="001432AA" w:rsidP="00C40B48">
            <w:pPr>
              <w:spacing w:after="200"/>
              <w:rPr>
                <w:rFonts w:cs="Times New Roman"/>
                <w:sz w:val="20"/>
                <w:szCs w:val="20"/>
              </w:rPr>
            </w:pPr>
            <w:r w:rsidRPr="00E24D58">
              <w:rPr>
                <w:rFonts w:cs="Times New Roman"/>
                <w:sz w:val="20"/>
                <w:szCs w:val="20"/>
              </w:rPr>
              <w:t xml:space="preserve">The Department highly recommends peer-reviewed publication of research results.  The expectation is to have a paper submitted (first author or co-author) by year 3 and a first author paper submitted by year 4.  </w:t>
            </w:r>
          </w:p>
        </w:tc>
        <w:tc>
          <w:tcPr>
            <w:tcW w:w="4735" w:type="dxa"/>
            <w:shd w:val="clear" w:color="auto" w:fill="auto"/>
          </w:tcPr>
          <w:p w14:paraId="253AA1F3" w14:textId="77777777" w:rsidR="001432AA" w:rsidRPr="00E24D58" w:rsidRDefault="001432AA" w:rsidP="00C40B48">
            <w:pPr>
              <w:pStyle w:val="NoSpacing"/>
              <w:spacing w:after="200"/>
              <w:rPr>
                <w:rFonts w:cs="Times New Roman"/>
                <w:sz w:val="20"/>
                <w:szCs w:val="20"/>
              </w:rPr>
            </w:pPr>
            <w:r w:rsidRPr="00E24D58">
              <w:rPr>
                <w:rFonts w:cs="Times New Roman"/>
                <w:sz w:val="20"/>
                <w:szCs w:val="20"/>
              </w:rPr>
              <w:t xml:space="preserve">By completion of third year: </w:t>
            </w:r>
            <w:r w:rsidRPr="00E24D58">
              <w:rPr>
                <w:rFonts w:cs="Times New Roman"/>
                <w:sz w:val="20"/>
                <w:szCs w:val="20"/>
              </w:rPr>
              <w:br/>
              <w:t>First-Author:</w:t>
            </w:r>
          </w:p>
        </w:tc>
      </w:tr>
      <w:tr w:rsidR="001432AA" w:rsidRPr="00E31548" w14:paraId="641466F4" w14:textId="77777777" w:rsidTr="00A14CB8">
        <w:tc>
          <w:tcPr>
            <w:tcW w:w="1759" w:type="dxa"/>
            <w:tcMar>
              <w:left w:w="43" w:type="dxa"/>
              <w:right w:w="43" w:type="dxa"/>
            </w:tcMar>
          </w:tcPr>
          <w:p w14:paraId="6BE0D101"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Special requirements due to fellowships or programs</w:t>
            </w:r>
          </w:p>
        </w:tc>
        <w:tc>
          <w:tcPr>
            <w:tcW w:w="7896" w:type="dxa"/>
          </w:tcPr>
          <w:p w14:paraId="2ABEFD63" w14:textId="77777777" w:rsidR="001432AA" w:rsidRPr="00E24D58" w:rsidRDefault="001432AA" w:rsidP="00C40B48">
            <w:pPr>
              <w:spacing w:after="200"/>
              <w:rPr>
                <w:rFonts w:cs="Times New Roman"/>
                <w:sz w:val="20"/>
                <w:szCs w:val="20"/>
              </w:rPr>
            </w:pPr>
            <w:r w:rsidRPr="00E24D58">
              <w:rPr>
                <w:rFonts w:cs="Times New Roman"/>
                <w:sz w:val="20"/>
                <w:szCs w:val="20"/>
              </w:rPr>
              <w:t>Requirements determined on a case by case basis.</w:t>
            </w:r>
          </w:p>
        </w:tc>
        <w:tc>
          <w:tcPr>
            <w:tcW w:w="4735" w:type="dxa"/>
          </w:tcPr>
          <w:p w14:paraId="7C0B99B3" w14:textId="43C00F01" w:rsidR="001432AA" w:rsidRPr="00E24D58" w:rsidRDefault="001432AA" w:rsidP="00C40B48">
            <w:pPr>
              <w:pStyle w:val="NoSpacing"/>
              <w:spacing w:after="200"/>
              <w:rPr>
                <w:rFonts w:cs="Times New Roman"/>
                <w:sz w:val="20"/>
                <w:szCs w:val="20"/>
              </w:rPr>
            </w:pPr>
          </w:p>
        </w:tc>
      </w:tr>
      <w:tr w:rsidR="001432AA" w:rsidRPr="00E31548" w14:paraId="4DBD36BD" w14:textId="77777777" w:rsidTr="00A14CB8">
        <w:tc>
          <w:tcPr>
            <w:tcW w:w="1759" w:type="dxa"/>
            <w:tcMar>
              <w:left w:w="43" w:type="dxa"/>
              <w:right w:w="43" w:type="dxa"/>
            </w:tcMar>
          </w:tcPr>
          <w:p w14:paraId="7DBE9373"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Lab safety</w:t>
            </w:r>
          </w:p>
        </w:tc>
        <w:tc>
          <w:tcPr>
            <w:tcW w:w="7896" w:type="dxa"/>
          </w:tcPr>
          <w:p w14:paraId="132BA9CD" w14:textId="77777777" w:rsidR="001432AA" w:rsidRPr="00E24D58" w:rsidRDefault="001432AA" w:rsidP="00C40B48">
            <w:pPr>
              <w:spacing w:after="200"/>
              <w:rPr>
                <w:rFonts w:cs="Times New Roman"/>
                <w:sz w:val="20"/>
                <w:szCs w:val="20"/>
              </w:rPr>
            </w:pPr>
            <w:r w:rsidRPr="00E24D58">
              <w:rPr>
                <w:rFonts w:cs="Times New Roman"/>
                <w:sz w:val="20"/>
                <w:szCs w:val="20"/>
              </w:rPr>
              <w:t>Following safe work practices, training requirements, and training documentation requirements as instructed by lab PI. Quoting the grad handbook, “The PI of each laboratory is responsible for initial and annual training of all students and staff working in the lab. Typical training requires online training in Chemical Safety for Labs, Safety Procedures for UI, PPE (Personal Protective Equipment) Awareness for Labs, Hazardous Material Preparedness and Spill Response, and lab specific training in the Chemical Hygiene Plan / Lab Chemical Safety which covers access to MSDS sheets, training and Standard Operating Procedural requirements for the specific lab, evacuation routes, and PPE requirements for the lab. Initial and annual training, such as in compressed gasses, laser safety, blood borne pathogens, ionizing radiation, or other topics may be appropriate.”</w:t>
            </w:r>
          </w:p>
        </w:tc>
        <w:tc>
          <w:tcPr>
            <w:tcW w:w="4735" w:type="dxa"/>
          </w:tcPr>
          <w:p w14:paraId="0D1DDD3D" w14:textId="0E3C982C" w:rsidR="001432AA" w:rsidRPr="00E24D58" w:rsidRDefault="001C663E" w:rsidP="00C40B48">
            <w:pPr>
              <w:pStyle w:val="NoSpacing"/>
              <w:spacing w:after="200"/>
              <w:rPr>
                <w:rFonts w:cs="Times New Roman"/>
                <w:sz w:val="20"/>
                <w:szCs w:val="20"/>
              </w:rPr>
            </w:pPr>
            <w:r>
              <w:rPr>
                <w:rFonts w:cs="Times New Roman"/>
                <w:sz w:val="20"/>
                <w:szCs w:val="20"/>
              </w:rPr>
              <w:t>Discuss with advisor</w:t>
            </w:r>
          </w:p>
        </w:tc>
      </w:tr>
      <w:tr w:rsidR="001432AA" w:rsidRPr="00E31548" w14:paraId="390BF975" w14:textId="77777777" w:rsidTr="00A14CB8">
        <w:tc>
          <w:tcPr>
            <w:tcW w:w="1759" w:type="dxa"/>
            <w:tcMar>
              <w:left w:w="43" w:type="dxa"/>
              <w:right w:w="43" w:type="dxa"/>
            </w:tcMar>
          </w:tcPr>
          <w:p w14:paraId="6EE9D8BC" w14:textId="77777777" w:rsidR="001432AA" w:rsidRPr="00E31548" w:rsidRDefault="001432AA" w:rsidP="00C40B48">
            <w:pPr>
              <w:pStyle w:val="NoSpacing"/>
              <w:spacing w:after="200"/>
              <w:rPr>
                <w:rFonts w:cs="Times New Roman"/>
                <w:sz w:val="20"/>
                <w:szCs w:val="20"/>
              </w:rPr>
            </w:pPr>
            <w:r w:rsidRPr="00E31548">
              <w:rPr>
                <w:sz w:val="20"/>
                <w:szCs w:val="20"/>
              </w:rPr>
              <w:br w:type="page"/>
            </w:r>
            <w:r w:rsidRPr="00E31548">
              <w:rPr>
                <w:rFonts w:cs="Times New Roman"/>
                <w:sz w:val="20"/>
                <w:szCs w:val="20"/>
              </w:rPr>
              <w:t>PhD Dissertation and Defense</w:t>
            </w:r>
          </w:p>
        </w:tc>
        <w:tc>
          <w:tcPr>
            <w:tcW w:w="7896" w:type="dxa"/>
          </w:tcPr>
          <w:p w14:paraId="1C2C899A" w14:textId="77777777" w:rsidR="001432AA" w:rsidRPr="00E31548" w:rsidRDefault="001432AA" w:rsidP="00C40B48">
            <w:pPr>
              <w:spacing w:after="200"/>
              <w:rPr>
                <w:rFonts w:cs="Times New Roman"/>
                <w:sz w:val="20"/>
                <w:szCs w:val="20"/>
              </w:rPr>
            </w:pPr>
            <w:r w:rsidRPr="00E31548">
              <w:rPr>
                <w:sz w:val="20"/>
                <w:szCs w:val="20"/>
              </w:rPr>
              <w:t>T</w:t>
            </w:r>
            <w:r w:rsidRPr="00E31548">
              <w:rPr>
                <w:rFonts w:cs="Times New Roman"/>
                <w:sz w:val="20"/>
                <w:szCs w:val="20"/>
              </w:rPr>
              <w:t>he general rules for the administration of the final examination are contained in the policies and procedures of the Graduate College. The final examination is administered by the candidate’s committee and consists of an oral presentation by the candidate of their dissertation work. The final examination is a critical inquiry into the purpose, methods and results of the research and may include intensive examination in areas related to the investigation. PhD and MS final examinations are open to the public. The final examination may be reported as satisfactory or unsatisfactory. Two or more unsatisfactory votes constitute a failure. The final examination may be repeated once at the discretion of the examining committee.</w:t>
            </w:r>
          </w:p>
          <w:p w14:paraId="73A7A299" w14:textId="77777777" w:rsidR="001432AA" w:rsidRPr="00E31548" w:rsidRDefault="001432AA" w:rsidP="00C40B48">
            <w:pPr>
              <w:spacing w:after="200"/>
              <w:rPr>
                <w:rFonts w:cs="Times New Roman"/>
                <w:sz w:val="20"/>
                <w:szCs w:val="20"/>
              </w:rPr>
            </w:pPr>
            <w:r w:rsidRPr="00E31548">
              <w:rPr>
                <w:rFonts w:cs="Times New Roman"/>
                <w:sz w:val="20"/>
                <w:szCs w:val="20"/>
              </w:rPr>
              <w:t xml:space="preserve">The final examination should be scheduled as early in the semester of graduation as possible in order to provide as much time to make the required corrections and additions to the thesis or dissertation that are required by the examining committee. In general, the final examination should be scheduled no later than two weeks before the final deposit deadline. The final examination must be passed no later than five years after passing the comprehensive examination for PhD students and no later than 4 years after entry into the graduate program with an external MS. Failure to meet this deadline indicates that the </w:t>
            </w:r>
            <w:r w:rsidRPr="00E31548">
              <w:rPr>
                <w:rFonts w:cs="Times New Roman"/>
                <w:sz w:val="20"/>
                <w:szCs w:val="20"/>
              </w:rPr>
              <w:lastRenderedPageBreak/>
              <w:t>student is failing to make appropriate progress in the program, which may lead to reduced financial aid or dismissal from the program.</w:t>
            </w:r>
          </w:p>
        </w:tc>
        <w:tc>
          <w:tcPr>
            <w:tcW w:w="4735" w:type="dxa"/>
          </w:tcPr>
          <w:p w14:paraId="0115B6A1" w14:textId="3A0C80B1" w:rsidR="001432AA" w:rsidRPr="00E31548" w:rsidRDefault="001432AA" w:rsidP="00C40B48">
            <w:pPr>
              <w:pStyle w:val="NoSpacing"/>
              <w:spacing w:after="200"/>
              <w:rPr>
                <w:rFonts w:cs="Times New Roman"/>
                <w:sz w:val="20"/>
                <w:szCs w:val="20"/>
              </w:rPr>
            </w:pPr>
          </w:p>
        </w:tc>
      </w:tr>
      <w:tr w:rsidR="001432AA" w:rsidRPr="00E31548" w14:paraId="62B8A485" w14:textId="77777777" w:rsidTr="00A14CB8">
        <w:tc>
          <w:tcPr>
            <w:tcW w:w="1759" w:type="dxa"/>
            <w:tcMar>
              <w:left w:w="43" w:type="dxa"/>
              <w:right w:w="43" w:type="dxa"/>
            </w:tcMar>
          </w:tcPr>
          <w:p w14:paraId="1B6DD579" w14:textId="77777777" w:rsidR="001432AA" w:rsidRPr="00E31548" w:rsidRDefault="001432AA" w:rsidP="00C40B48">
            <w:pPr>
              <w:pStyle w:val="NoSpacing"/>
              <w:spacing w:after="200"/>
              <w:rPr>
                <w:rFonts w:cs="Times New Roman"/>
                <w:sz w:val="20"/>
                <w:szCs w:val="20"/>
              </w:rPr>
            </w:pPr>
            <w:r w:rsidRPr="00E31548">
              <w:rPr>
                <w:rFonts w:cs="Times New Roman"/>
                <w:sz w:val="20"/>
                <w:szCs w:val="20"/>
              </w:rPr>
              <w:t>Overall Status</w:t>
            </w:r>
          </w:p>
        </w:tc>
        <w:tc>
          <w:tcPr>
            <w:tcW w:w="7896" w:type="dxa"/>
          </w:tcPr>
          <w:p w14:paraId="5FA34B56" w14:textId="77777777" w:rsidR="001432AA" w:rsidRPr="00E31548" w:rsidRDefault="001432AA" w:rsidP="00C40B48">
            <w:pPr>
              <w:pStyle w:val="NoSpacing"/>
              <w:rPr>
                <w:rFonts w:cs="Times New Roman"/>
                <w:sz w:val="20"/>
                <w:szCs w:val="20"/>
              </w:rPr>
            </w:pPr>
            <w:r w:rsidRPr="00E31548">
              <w:rPr>
                <w:rFonts w:cs="Times New Roman"/>
                <w:sz w:val="20"/>
                <w:szCs w:val="20"/>
              </w:rPr>
              <w:t>Good standing in the department requires satisfactory performance in teaching assistantships and research, attendance of graduate seminar, satisfactory progress toward degree per the milestones in the Graduate Handbook, a minimum GPA of 3.25, and professional conduct as described in the graduate handbook. Students who are not in good standing may be required to meet more frequently with faculty review committees.</w:t>
            </w:r>
          </w:p>
        </w:tc>
        <w:tc>
          <w:tcPr>
            <w:tcW w:w="4735" w:type="dxa"/>
            <w:shd w:val="clear" w:color="auto" w:fill="auto"/>
          </w:tcPr>
          <w:p w14:paraId="168E0DEB" w14:textId="0CB1CC4A" w:rsidR="001432AA" w:rsidRPr="00E31548" w:rsidRDefault="001432AA" w:rsidP="00C40B48">
            <w:pPr>
              <w:pStyle w:val="NoSpacing"/>
              <w:spacing w:after="200"/>
              <w:rPr>
                <w:rFonts w:cs="Times New Roman"/>
                <w:sz w:val="20"/>
                <w:szCs w:val="20"/>
              </w:rPr>
            </w:pPr>
          </w:p>
        </w:tc>
      </w:tr>
    </w:tbl>
    <w:p w14:paraId="608C6C57" w14:textId="77777777" w:rsidR="001432AA" w:rsidRDefault="001432AA" w:rsidP="001432AA"/>
    <w:p w14:paraId="06252046" w14:textId="77777777" w:rsidR="006A02DE" w:rsidRDefault="006A02DE"/>
    <w:sectPr w:rsidR="006A02DE" w:rsidSect="00362FB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171480"/>
    <w:multiLevelType w:val="hybridMultilevel"/>
    <w:tmpl w:val="4DFC4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27FE6AAC"/>
    <w:multiLevelType w:val="hybridMultilevel"/>
    <w:tmpl w:val="B964A3F6"/>
    <w:lvl w:ilvl="0" w:tplc="7CBA4F5C">
      <w:start w:val="1"/>
      <w:numFmt w:val="bullet"/>
      <w:lvlText w:val=""/>
      <w:lvlJc w:val="left"/>
      <w:pPr>
        <w:ind w:left="870" w:hanging="360"/>
      </w:pPr>
      <w:rPr>
        <w:rFonts w:ascii="Symbol" w:hAnsi="Symbol"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AA"/>
    <w:rsid w:val="000E336A"/>
    <w:rsid w:val="001432AA"/>
    <w:rsid w:val="001C663E"/>
    <w:rsid w:val="00231585"/>
    <w:rsid w:val="00252319"/>
    <w:rsid w:val="006A02DE"/>
    <w:rsid w:val="00783913"/>
    <w:rsid w:val="00A14CB8"/>
    <w:rsid w:val="00AF0ACB"/>
    <w:rsid w:val="00B56E54"/>
    <w:rsid w:val="00DC285D"/>
    <w:rsid w:val="00F0151B"/>
    <w:rsid w:val="00FA2DF1"/>
    <w:rsid w:val="00FE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F5AD"/>
  <w15:chartTrackingRefBased/>
  <w15:docId w15:val="{50D9D641-650B-4332-AF4C-74D9B7F8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2AA"/>
  </w:style>
  <w:style w:type="paragraph" w:styleId="NoSpacing">
    <w:name w:val="No Spacing"/>
    <w:uiPriority w:val="1"/>
    <w:qFormat/>
    <w:rsid w:val="001432AA"/>
    <w:pPr>
      <w:spacing w:after="0" w:line="240" w:lineRule="auto"/>
    </w:pPr>
    <w:rPr>
      <w:rFonts w:eastAsiaTheme="minorEastAsia"/>
    </w:rPr>
  </w:style>
  <w:style w:type="table" w:styleId="TableGrid">
    <w:name w:val="Table Grid"/>
    <w:basedOn w:val="TableNormal"/>
    <w:uiPriority w:val="59"/>
    <w:rsid w:val="001432AA"/>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52319"/>
    <w:rPr>
      <w:sz w:val="16"/>
      <w:szCs w:val="16"/>
    </w:rPr>
  </w:style>
  <w:style w:type="paragraph" w:styleId="CommentText">
    <w:name w:val="annotation text"/>
    <w:basedOn w:val="Normal"/>
    <w:link w:val="CommentTextChar"/>
    <w:uiPriority w:val="99"/>
    <w:semiHidden/>
    <w:unhideWhenUsed/>
    <w:rsid w:val="00252319"/>
    <w:pPr>
      <w:spacing w:line="240" w:lineRule="auto"/>
    </w:pPr>
    <w:rPr>
      <w:sz w:val="20"/>
      <w:szCs w:val="20"/>
    </w:rPr>
  </w:style>
  <w:style w:type="character" w:customStyle="1" w:styleId="CommentTextChar">
    <w:name w:val="Comment Text Char"/>
    <w:basedOn w:val="DefaultParagraphFont"/>
    <w:link w:val="CommentText"/>
    <w:uiPriority w:val="99"/>
    <w:semiHidden/>
    <w:rsid w:val="00252319"/>
    <w:rPr>
      <w:sz w:val="20"/>
      <w:szCs w:val="20"/>
    </w:rPr>
  </w:style>
  <w:style w:type="paragraph" w:styleId="CommentSubject">
    <w:name w:val="annotation subject"/>
    <w:basedOn w:val="CommentText"/>
    <w:next w:val="CommentText"/>
    <w:link w:val="CommentSubjectChar"/>
    <w:uiPriority w:val="99"/>
    <w:semiHidden/>
    <w:unhideWhenUsed/>
    <w:rsid w:val="00252319"/>
    <w:rPr>
      <w:b/>
      <w:bCs/>
    </w:rPr>
  </w:style>
  <w:style w:type="character" w:customStyle="1" w:styleId="CommentSubjectChar">
    <w:name w:val="Comment Subject Char"/>
    <w:basedOn w:val="CommentTextChar"/>
    <w:link w:val="CommentSubject"/>
    <w:uiPriority w:val="99"/>
    <w:semiHidden/>
    <w:rsid w:val="00252319"/>
    <w:rPr>
      <w:b/>
      <w:bCs/>
      <w:sz w:val="20"/>
      <w:szCs w:val="20"/>
    </w:rPr>
  </w:style>
  <w:style w:type="paragraph" w:styleId="BalloonText">
    <w:name w:val="Balloon Text"/>
    <w:basedOn w:val="Normal"/>
    <w:link w:val="BalloonTextChar"/>
    <w:uiPriority w:val="99"/>
    <w:semiHidden/>
    <w:unhideWhenUsed/>
    <w:rsid w:val="00252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Sara V</dc:creator>
  <cp:keywords/>
  <dc:description/>
  <cp:lastModifiedBy>Hartman, Sara V</cp:lastModifiedBy>
  <cp:revision>4</cp:revision>
  <dcterms:created xsi:type="dcterms:W3CDTF">2019-08-16T15:16:00Z</dcterms:created>
  <dcterms:modified xsi:type="dcterms:W3CDTF">2021-03-17T16:03:00Z</dcterms:modified>
</cp:coreProperties>
</file>